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eastAsia" w:ascii="宋体" w:hAnsi="宋体" w:eastAsia="宋体" w:cs="宋体"/>
          <w:b/>
          <w:bCs/>
          <w:color w:val="auto"/>
          <w:sz w:val="52"/>
          <w:szCs w:val="52"/>
          <w:highlight w:val="none"/>
          <w:u w:val="single"/>
        </w:rPr>
      </w:pPr>
      <w:r>
        <w:rPr>
          <w:rFonts w:hint="eastAsia" w:ascii="宋体" w:hAnsi="宋体" w:eastAsia="宋体" w:cs="宋体"/>
          <w:b/>
          <w:bCs/>
          <w:color w:val="auto"/>
          <w:sz w:val="52"/>
          <w:szCs w:val="52"/>
          <w:highlight w:val="none"/>
          <w:u w:val="single"/>
        </w:rPr>
        <w:t>绥江县保障性租赁住房建设项目——</w:t>
      </w:r>
      <w:r>
        <w:rPr>
          <w:rFonts w:hint="eastAsia" w:ascii="宋体" w:hAnsi="宋体" w:cs="宋体"/>
          <w:b/>
          <w:bCs/>
          <w:color w:val="auto"/>
          <w:sz w:val="52"/>
          <w:szCs w:val="52"/>
          <w:highlight w:val="none"/>
          <w:u w:val="single"/>
          <w:lang w:val="en-US" w:eastAsia="zh-CN"/>
        </w:rPr>
        <w:t>防水</w:t>
      </w:r>
      <w:r>
        <w:rPr>
          <w:rFonts w:hint="eastAsia" w:ascii="宋体" w:hAnsi="宋体" w:eastAsia="宋体" w:cs="宋体"/>
          <w:b/>
          <w:bCs/>
          <w:color w:val="auto"/>
          <w:sz w:val="52"/>
          <w:szCs w:val="52"/>
          <w:highlight w:val="none"/>
          <w:u w:val="single"/>
        </w:rPr>
        <w:t>工程</w:t>
      </w:r>
    </w:p>
    <w:p>
      <w:pPr>
        <w:rPr>
          <w:rFonts w:hint="eastAsia" w:ascii="宋体" w:hAnsi="宋体" w:eastAsia="宋体" w:cs="宋体"/>
          <w:color w:val="auto"/>
          <w:highlight w:val="none"/>
        </w:rPr>
      </w:pPr>
    </w:p>
    <w:p>
      <w:pPr>
        <w:spacing w:before="317" w:beforeLines="100" w:after="317" w:afterLines="100" w:line="300" w:lineRule="auto"/>
        <w:jc w:val="both"/>
        <w:rPr>
          <w:rFonts w:hint="eastAsia" w:ascii="宋体" w:hAnsi="宋体" w:eastAsia="宋体" w:cs="宋体"/>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84"/>
          <w:szCs w:val="84"/>
          <w:highlight w:val="none"/>
        </w:rPr>
      </w:pPr>
      <w:r>
        <w:rPr>
          <w:rFonts w:hint="eastAsia" w:ascii="宋体" w:hAnsi="宋体" w:eastAsia="宋体" w:cs="宋体"/>
          <w:b/>
          <w:color w:val="auto"/>
          <w:sz w:val="84"/>
          <w:szCs w:val="84"/>
          <w:highlight w:val="none"/>
        </w:rPr>
        <w:t>专业分包招标文件</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highlight w:val="none"/>
        </w:rPr>
      </w:pPr>
    </w:p>
    <w:p>
      <w:pPr>
        <w:jc w:val="center"/>
        <w:rPr>
          <w:rFonts w:hint="eastAsia" w:ascii="宋体" w:hAnsi="宋体" w:eastAsia="宋体" w:cs="宋体"/>
          <w:color w:val="auto"/>
          <w:kern w:val="0"/>
          <w:sz w:val="24"/>
          <w:highlight w:val="none"/>
        </w:rPr>
      </w:pPr>
    </w:p>
    <w:p>
      <w:pPr>
        <w:jc w:val="center"/>
        <w:rPr>
          <w:rFonts w:hint="eastAsia" w:ascii="宋体" w:hAnsi="宋体" w:eastAsia="宋体" w:cs="宋体"/>
          <w:color w:val="auto"/>
          <w:kern w:val="0"/>
          <w:sz w:val="24"/>
          <w:highlight w:val="none"/>
        </w:rPr>
      </w:pPr>
    </w:p>
    <w:p>
      <w:pPr>
        <w:jc w:val="center"/>
        <w:rPr>
          <w:rFonts w:hint="eastAsia" w:ascii="宋体" w:hAnsi="宋体" w:eastAsia="宋体" w:cs="宋体"/>
          <w:color w:val="auto"/>
          <w:kern w:val="0"/>
          <w:sz w:val="24"/>
          <w:highlight w:val="none"/>
        </w:rPr>
      </w:pPr>
    </w:p>
    <w:p>
      <w:pPr>
        <w:rPr>
          <w:rFonts w:hint="eastAsia" w:ascii="宋体" w:hAnsi="宋体" w:eastAsia="宋体" w:cs="宋体"/>
          <w:color w:val="auto"/>
          <w:kern w:val="0"/>
          <w:sz w:val="24"/>
          <w:highlight w:val="none"/>
        </w:rPr>
      </w:pPr>
    </w:p>
    <w:p>
      <w:pPr>
        <w:rPr>
          <w:rFonts w:hint="eastAsia" w:ascii="宋体" w:hAnsi="宋体" w:eastAsia="宋体" w:cs="宋体"/>
          <w:color w:val="auto"/>
          <w:kern w:val="0"/>
          <w:sz w:val="24"/>
          <w:highlight w:val="none"/>
        </w:rPr>
      </w:pPr>
    </w:p>
    <w:p>
      <w:pPr>
        <w:jc w:val="center"/>
        <w:rPr>
          <w:rFonts w:hint="eastAsia" w:ascii="宋体" w:hAnsi="宋体" w:eastAsia="宋体" w:cs="宋体"/>
          <w:b/>
          <w:color w:val="auto"/>
          <w:sz w:val="30"/>
          <w:highlight w:val="none"/>
        </w:rPr>
      </w:pPr>
    </w:p>
    <w:p>
      <w:pPr>
        <w:spacing w:line="360" w:lineRule="auto"/>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招标人：</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u w:val="single"/>
          <w:lang w:val="en-US" w:eastAsia="zh-CN"/>
        </w:rPr>
        <w:t xml:space="preserve">  云南建投第十建设有限公司绥江分公司  </w:t>
      </w:r>
      <w:r>
        <w:rPr>
          <w:rFonts w:hint="eastAsia" w:ascii="宋体" w:hAnsi="宋体" w:eastAsia="宋体" w:cs="宋体"/>
          <w:color w:val="auto"/>
          <w:sz w:val="32"/>
          <w:szCs w:val="32"/>
          <w:highlight w:val="none"/>
        </w:rPr>
        <w:t xml:space="preserve">  </w:t>
      </w:r>
    </w:p>
    <w:p>
      <w:pPr>
        <w:jc w:val="both"/>
        <w:rPr>
          <w:rFonts w:hint="eastAsia" w:ascii="宋体" w:hAnsi="宋体" w:eastAsia="宋体" w:cs="宋体"/>
          <w:color w:val="auto"/>
          <w:sz w:val="24"/>
          <w:highlight w:val="none"/>
          <w:u w:val="single"/>
          <w:lang w:val="en-US"/>
        </w:rPr>
      </w:pPr>
      <w:r>
        <w:rPr>
          <w:rFonts w:hint="eastAsia" w:ascii="宋体" w:hAnsi="宋体" w:eastAsia="宋体" w:cs="宋体"/>
          <w:color w:val="auto"/>
          <w:sz w:val="32"/>
          <w:szCs w:val="32"/>
          <w:highlight w:val="none"/>
          <w:lang w:val="en-US" w:eastAsia="zh-CN"/>
        </w:rPr>
        <w:t>招标编号：</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kern w:val="2"/>
          <w:sz w:val="32"/>
          <w:szCs w:val="32"/>
          <w:highlight w:val="none"/>
          <w:u w:val="single"/>
          <w:lang w:val="en-US" w:eastAsia="zh-CN" w:bidi="ar-SA"/>
        </w:rPr>
        <w:t>匹配集团招标采购管理平台编号）</w:t>
      </w:r>
    </w:p>
    <w:p>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spacing w:line="360" w:lineRule="auto"/>
        <w:jc w:val="center"/>
        <w:rPr>
          <w:rFonts w:hint="eastAsia" w:ascii="宋体" w:hAnsi="宋体" w:eastAsia="宋体" w:cs="宋体"/>
          <w:color w:val="auto"/>
          <w:sz w:val="32"/>
          <w:szCs w:val="32"/>
          <w:highlight w:val="none"/>
        </w:rPr>
      </w:pPr>
    </w:p>
    <w:p>
      <w:pPr>
        <w:spacing w:line="360" w:lineRule="auto"/>
        <w:jc w:val="center"/>
        <w:rPr>
          <w:rFonts w:hint="eastAsia" w:ascii="宋体" w:hAnsi="宋体" w:eastAsia="宋体" w:cs="宋体"/>
          <w:color w:val="auto"/>
          <w:sz w:val="32"/>
          <w:szCs w:val="32"/>
          <w:highlight w:val="none"/>
        </w:rPr>
      </w:pPr>
    </w:p>
    <w:p>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时  间：</w:t>
      </w:r>
      <w:r>
        <w:rPr>
          <w:rFonts w:hint="eastAsia" w:ascii="宋体" w:hAnsi="宋体" w:cs="宋体"/>
          <w:color w:val="auto"/>
          <w:sz w:val="32"/>
          <w:szCs w:val="32"/>
          <w:highlight w:val="none"/>
          <w:u w:val="single"/>
          <w:lang w:val="en-US" w:eastAsia="zh-CN"/>
        </w:rPr>
        <w:t>2023</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cs="宋体"/>
          <w:color w:val="auto"/>
          <w:sz w:val="32"/>
          <w:szCs w:val="32"/>
          <w:highlight w:val="none"/>
          <w:u w:val="single"/>
          <w:lang w:val="en-US" w:eastAsia="zh-CN"/>
        </w:rPr>
        <w:t>6</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月</w:t>
      </w:r>
      <w:r>
        <w:rPr>
          <w:rFonts w:hint="eastAsia" w:ascii="宋体" w:hAnsi="宋体" w:eastAsia="宋体" w:cs="宋体"/>
          <w:color w:val="auto"/>
          <w:sz w:val="32"/>
          <w:szCs w:val="32"/>
          <w:highlight w:val="none"/>
          <w:u w:val="single"/>
        </w:rPr>
        <w:t xml:space="preserve">  </w:t>
      </w:r>
      <w:r>
        <w:rPr>
          <w:rFonts w:hint="eastAsia" w:ascii="宋体" w:hAnsi="宋体" w:cs="宋体"/>
          <w:color w:val="auto"/>
          <w:sz w:val="32"/>
          <w:szCs w:val="32"/>
          <w:highlight w:val="none"/>
          <w:u w:val="single"/>
          <w:lang w:val="en-US" w:eastAsia="zh-CN"/>
        </w:rPr>
        <w:t>21</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日</w:t>
      </w:r>
    </w:p>
    <w:p>
      <w:pPr>
        <w:spacing w:line="360" w:lineRule="auto"/>
        <w:jc w:val="center"/>
        <w:rPr>
          <w:rFonts w:hint="eastAsia" w:ascii="宋体" w:hAnsi="宋体" w:eastAsia="宋体" w:cs="宋体"/>
          <w:color w:val="auto"/>
          <w:sz w:val="32"/>
          <w:szCs w:val="32"/>
          <w:highlight w:val="none"/>
        </w:rPr>
      </w:pPr>
    </w:p>
    <w:p>
      <w:pPr>
        <w:rPr>
          <w:rFonts w:hint="eastAsia" w:ascii="宋体" w:hAnsi="宋体" w:eastAsia="宋体" w:cs="宋体"/>
          <w:color w:val="auto"/>
          <w:highlight w:val="none"/>
        </w:rPr>
      </w:pPr>
    </w:p>
    <w:p>
      <w:pPr>
        <w:pStyle w:val="18"/>
        <w:tabs>
          <w:tab w:val="clear" w:pos="8834"/>
        </w:tabs>
        <w:jc w:val="both"/>
        <w:rPr>
          <w:rFonts w:hint="eastAsia" w:ascii="宋体" w:hAnsi="宋体" w:eastAsia="宋体" w:cs="宋体"/>
          <w:color w:val="auto"/>
          <w:sz w:val="32"/>
          <w:szCs w:val="32"/>
          <w:highlight w:val="none"/>
          <w:lang w:val="en-US" w:eastAsia="zh-CN"/>
        </w:rPr>
        <w:sectPr>
          <w:headerReference r:id="rId3" w:type="default"/>
          <w:footerReference r:id="rId4" w:type="default"/>
          <w:pgSz w:w="11905" w:h="16838"/>
          <w:pgMar w:top="1440" w:right="1797" w:bottom="1440" w:left="1797" w:header="851" w:footer="992" w:gutter="567"/>
          <w:pgBorders>
            <w:top w:val="none" w:sz="0" w:space="0"/>
            <w:left w:val="none" w:sz="0" w:space="0"/>
            <w:bottom w:val="none" w:sz="0" w:space="0"/>
            <w:right w:val="none" w:sz="0" w:space="0"/>
          </w:pgBorders>
          <w:pgNumType w:fmt="decimal" w:start="1"/>
          <w:cols w:space="720" w:num="1"/>
          <w:rtlGutter w:val="0"/>
          <w:docGrid w:type="lines" w:linePitch="317" w:charSpace="0"/>
        </w:sectPr>
      </w:pPr>
    </w:p>
    <w:p>
      <w:pPr>
        <w:pStyle w:val="13"/>
        <w:bidi w:val="0"/>
        <w:jc w:val="center"/>
        <w:rPr>
          <w:rFonts w:hint="eastAsia"/>
          <w:b/>
          <w:bCs/>
          <w:color w:val="auto"/>
          <w:sz w:val="44"/>
          <w:szCs w:val="44"/>
          <w:highlight w:val="none"/>
          <w:lang w:val="en-US" w:eastAsia="zh-CN"/>
        </w:rPr>
      </w:pPr>
      <w:bookmarkStart w:id="0" w:name="_Toc23250"/>
      <w:r>
        <w:rPr>
          <w:rFonts w:hint="eastAsia"/>
          <w:b/>
          <w:bCs/>
          <w:color w:val="auto"/>
          <w:sz w:val="44"/>
          <w:szCs w:val="44"/>
          <w:highlight w:val="none"/>
          <w:lang w:val="en-US" w:eastAsia="zh-CN"/>
        </w:rPr>
        <w:t>目录</w:t>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TOC \o "1-3" \f \h \u </w:instrText>
      </w:r>
      <w:r>
        <w:rPr>
          <w:rFonts w:hint="eastAsia"/>
          <w:color w:val="auto"/>
          <w:highlight w:val="none"/>
        </w:rPr>
        <w:fldChar w:fldCharType="separate"/>
      </w:r>
      <w:r>
        <w:rPr>
          <w:rFonts w:hint="eastAsia"/>
          <w:color w:val="auto"/>
          <w:highlight w:val="none"/>
        </w:rPr>
        <w:fldChar w:fldCharType="begin"/>
      </w:r>
      <w:r>
        <w:rPr>
          <w:rFonts w:hint="eastAsia"/>
          <w:color w:val="auto"/>
          <w:highlight w:val="none"/>
        </w:rPr>
        <w:instrText xml:space="preserve"> HYPERLINK \l _Toc29780 </w:instrText>
      </w:r>
      <w:r>
        <w:rPr>
          <w:rFonts w:hint="eastAsia"/>
          <w:color w:val="auto"/>
          <w:highlight w:val="none"/>
        </w:rPr>
        <w:fldChar w:fldCharType="separate"/>
      </w:r>
      <w:r>
        <w:rPr>
          <w:rFonts w:hint="eastAsia"/>
          <w:color w:val="auto"/>
          <w:highlight w:val="none"/>
        </w:rPr>
        <w:t>第一</w:t>
      </w:r>
      <w:r>
        <w:rPr>
          <w:rFonts w:hint="eastAsia"/>
          <w:color w:val="auto"/>
          <w:highlight w:val="none"/>
          <w:lang w:val="en-US" w:eastAsia="zh-CN"/>
        </w:rPr>
        <w:t>篇</w:t>
      </w:r>
      <w:r>
        <w:rPr>
          <w:rFonts w:hint="eastAsia"/>
          <w:color w:val="auto"/>
          <w:highlight w:val="none"/>
        </w:rPr>
        <w:t xml:space="preserve">  招标文件正文</w:t>
      </w:r>
      <w:r>
        <w:rPr>
          <w:color w:val="auto"/>
          <w:highlight w:val="none"/>
        </w:rPr>
        <w:tab/>
      </w:r>
      <w:r>
        <w:rPr>
          <w:color w:val="auto"/>
          <w:highlight w:val="none"/>
        </w:rPr>
        <w:fldChar w:fldCharType="begin"/>
      </w:r>
      <w:r>
        <w:rPr>
          <w:color w:val="auto"/>
          <w:highlight w:val="none"/>
        </w:rPr>
        <w:instrText xml:space="preserve"> PAGEREF _Toc29780 \h </w:instrText>
      </w:r>
      <w:r>
        <w:rPr>
          <w:color w:val="auto"/>
          <w:highlight w:val="none"/>
        </w:rPr>
        <w:fldChar w:fldCharType="separate"/>
      </w:r>
      <w:r>
        <w:rPr>
          <w:color w:val="auto"/>
          <w:highlight w:val="none"/>
        </w:rPr>
        <w:t>5</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_Toc8586 </w:instrText>
      </w:r>
      <w:r>
        <w:rPr>
          <w:rFonts w:hint="eastAsia"/>
          <w:color w:val="auto"/>
          <w:highlight w:val="none"/>
        </w:rPr>
        <w:fldChar w:fldCharType="separate"/>
      </w:r>
      <w:r>
        <w:rPr>
          <w:rFonts w:hint="eastAsia"/>
          <w:color w:val="auto"/>
          <w:highlight w:val="none"/>
        </w:rPr>
        <w:t xml:space="preserve">第一章  </w:t>
      </w:r>
      <w:r>
        <w:rPr>
          <w:rFonts w:hint="eastAsia"/>
          <w:color w:val="auto"/>
          <w:highlight w:val="none"/>
          <w:lang w:val="en-US" w:eastAsia="zh-CN"/>
        </w:rPr>
        <w:t>招标公告</w:t>
      </w:r>
      <w:r>
        <w:rPr>
          <w:color w:val="auto"/>
          <w:highlight w:val="none"/>
        </w:rPr>
        <w:tab/>
      </w:r>
      <w:r>
        <w:rPr>
          <w:rFonts w:hint="eastAsia"/>
          <w:color w:val="auto"/>
          <w:highlight w:val="none"/>
          <w:lang w:val="en-US" w:eastAsia="zh-CN"/>
        </w:rPr>
        <w:t>6</w:t>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_Toc28836 </w:instrText>
      </w:r>
      <w:r>
        <w:rPr>
          <w:rFonts w:hint="eastAsia"/>
          <w:color w:val="auto"/>
          <w:highlight w:val="none"/>
        </w:rPr>
        <w:fldChar w:fldCharType="separate"/>
      </w:r>
      <w:r>
        <w:rPr>
          <w:rFonts w:hint="eastAsia"/>
          <w:color w:val="auto"/>
          <w:highlight w:val="none"/>
        </w:rPr>
        <w:t>第二章  投标须知</w:t>
      </w:r>
      <w:r>
        <w:rPr>
          <w:color w:val="auto"/>
          <w:highlight w:val="none"/>
        </w:rPr>
        <w:tab/>
      </w:r>
      <w:r>
        <w:rPr>
          <w:color w:val="auto"/>
          <w:highlight w:val="none"/>
        </w:rPr>
        <w:fldChar w:fldCharType="begin"/>
      </w:r>
      <w:r>
        <w:rPr>
          <w:color w:val="auto"/>
          <w:highlight w:val="none"/>
        </w:rPr>
        <w:instrText xml:space="preserve"> PAGEREF _Toc28836 \h </w:instrText>
      </w:r>
      <w:r>
        <w:rPr>
          <w:color w:val="auto"/>
          <w:highlight w:val="none"/>
        </w:rPr>
        <w:fldChar w:fldCharType="separate"/>
      </w:r>
      <w:r>
        <w:rPr>
          <w:color w:val="auto"/>
          <w:highlight w:val="none"/>
        </w:rPr>
        <w:t>8</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_Toc25107 </w:instrText>
      </w:r>
      <w:r>
        <w:rPr>
          <w:rFonts w:hint="eastAsia"/>
          <w:color w:val="auto"/>
          <w:highlight w:val="none"/>
        </w:rPr>
        <w:fldChar w:fldCharType="separate"/>
      </w:r>
      <w:r>
        <w:rPr>
          <w:rFonts w:hint="eastAsia"/>
          <w:color w:val="auto"/>
          <w:highlight w:val="none"/>
        </w:rPr>
        <w:t>一、投标须知前附表</w:t>
      </w:r>
      <w:r>
        <w:rPr>
          <w:color w:val="auto"/>
          <w:highlight w:val="none"/>
        </w:rPr>
        <w:tab/>
      </w:r>
      <w:r>
        <w:rPr>
          <w:color w:val="auto"/>
          <w:highlight w:val="none"/>
        </w:rPr>
        <w:fldChar w:fldCharType="begin"/>
      </w:r>
      <w:r>
        <w:rPr>
          <w:color w:val="auto"/>
          <w:highlight w:val="none"/>
        </w:rPr>
        <w:instrText xml:space="preserve"> PAGEREF _Toc25107 \h </w:instrText>
      </w:r>
      <w:r>
        <w:rPr>
          <w:color w:val="auto"/>
          <w:highlight w:val="none"/>
        </w:rPr>
        <w:fldChar w:fldCharType="separate"/>
      </w:r>
      <w:r>
        <w:rPr>
          <w:color w:val="auto"/>
          <w:highlight w:val="none"/>
        </w:rPr>
        <w:t>8</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_Toc2241 </w:instrText>
      </w:r>
      <w:r>
        <w:rPr>
          <w:rFonts w:hint="eastAsia"/>
          <w:color w:val="auto"/>
          <w:highlight w:val="none"/>
        </w:rPr>
        <w:fldChar w:fldCharType="separate"/>
      </w:r>
      <w:r>
        <w:rPr>
          <w:rFonts w:hint="eastAsia"/>
          <w:color w:val="auto"/>
          <w:highlight w:val="none"/>
        </w:rPr>
        <w:t>二、投标须知</w:t>
      </w:r>
      <w:r>
        <w:rPr>
          <w:color w:val="auto"/>
          <w:highlight w:val="none"/>
        </w:rPr>
        <w:tab/>
      </w:r>
      <w:r>
        <w:rPr>
          <w:color w:val="auto"/>
          <w:highlight w:val="none"/>
        </w:rPr>
        <w:fldChar w:fldCharType="begin"/>
      </w:r>
      <w:r>
        <w:rPr>
          <w:color w:val="auto"/>
          <w:highlight w:val="none"/>
        </w:rPr>
        <w:instrText xml:space="preserve"> PAGEREF _Toc2241 \h </w:instrText>
      </w:r>
      <w:r>
        <w:rPr>
          <w:color w:val="auto"/>
          <w:highlight w:val="none"/>
        </w:rPr>
        <w:fldChar w:fldCharType="separate"/>
      </w:r>
      <w:r>
        <w:rPr>
          <w:color w:val="auto"/>
          <w:highlight w:val="none"/>
        </w:rPr>
        <w:t>12</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_Toc7733 </w:instrText>
      </w:r>
      <w:r>
        <w:rPr>
          <w:rFonts w:hint="eastAsia"/>
          <w:color w:val="auto"/>
          <w:highlight w:val="none"/>
        </w:rPr>
        <w:fldChar w:fldCharType="separate"/>
      </w:r>
      <w:r>
        <w:rPr>
          <w:rFonts w:hint="eastAsia"/>
          <w:color w:val="auto"/>
          <w:highlight w:val="none"/>
        </w:rPr>
        <w:t>1.资格要求</w:t>
      </w:r>
      <w:r>
        <w:rPr>
          <w:color w:val="auto"/>
          <w:highlight w:val="none"/>
        </w:rPr>
        <w:tab/>
      </w:r>
      <w:r>
        <w:rPr>
          <w:color w:val="auto"/>
          <w:highlight w:val="none"/>
        </w:rPr>
        <w:fldChar w:fldCharType="begin"/>
      </w:r>
      <w:r>
        <w:rPr>
          <w:color w:val="auto"/>
          <w:highlight w:val="none"/>
        </w:rPr>
        <w:instrText xml:space="preserve"> PAGEREF _Toc7733 \h </w:instrText>
      </w:r>
      <w:r>
        <w:rPr>
          <w:color w:val="auto"/>
          <w:highlight w:val="none"/>
        </w:rPr>
        <w:fldChar w:fldCharType="separate"/>
      </w:r>
      <w:r>
        <w:rPr>
          <w:color w:val="auto"/>
          <w:highlight w:val="none"/>
        </w:rPr>
        <w:t>12</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_Toc4628 </w:instrText>
      </w:r>
      <w:r>
        <w:rPr>
          <w:rFonts w:hint="eastAsia"/>
          <w:color w:val="auto"/>
          <w:highlight w:val="none"/>
        </w:rPr>
        <w:fldChar w:fldCharType="separate"/>
      </w:r>
      <w:r>
        <w:rPr>
          <w:rFonts w:hint="eastAsia"/>
          <w:color w:val="auto"/>
          <w:highlight w:val="none"/>
        </w:rPr>
        <w:t>2.招标范围及标段划分</w:t>
      </w:r>
      <w:r>
        <w:rPr>
          <w:color w:val="auto"/>
          <w:highlight w:val="none"/>
        </w:rPr>
        <w:tab/>
      </w:r>
      <w:r>
        <w:rPr>
          <w:color w:val="auto"/>
          <w:highlight w:val="none"/>
        </w:rPr>
        <w:fldChar w:fldCharType="begin"/>
      </w:r>
      <w:r>
        <w:rPr>
          <w:color w:val="auto"/>
          <w:highlight w:val="none"/>
        </w:rPr>
        <w:instrText xml:space="preserve"> PAGEREF _Toc4628 \h </w:instrText>
      </w:r>
      <w:r>
        <w:rPr>
          <w:color w:val="auto"/>
          <w:highlight w:val="none"/>
        </w:rPr>
        <w:fldChar w:fldCharType="separate"/>
      </w:r>
      <w:r>
        <w:rPr>
          <w:color w:val="auto"/>
          <w:highlight w:val="none"/>
        </w:rPr>
        <w:t>12</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_Toc26551 </w:instrText>
      </w:r>
      <w:r>
        <w:rPr>
          <w:rFonts w:hint="eastAsia"/>
          <w:color w:val="auto"/>
          <w:highlight w:val="none"/>
        </w:rPr>
        <w:fldChar w:fldCharType="separate"/>
      </w:r>
      <w:r>
        <w:rPr>
          <w:rFonts w:hint="eastAsia"/>
          <w:color w:val="auto"/>
          <w:highlight w:val="none"/>
        </w:rPr>
        <w:t>3.质量要求</w:t>
      </w:r>
      <w:r>
        <w:rPr>
          <w:color w:val="auto"/>
          <w:highlight w:val="none"/>
        </w:rPr>
        <w:tab/>
      </w:r>
      <w:r>
        <w:rPr>
          <w:color w:val="auto"/>
          <w:highlight w:val="none"/>
        </w:rPr>
        <w:fldChar w:fldCharType="begin"/>
      </w:r>
      <w:r>
        <w:rPr>
          <w:color w:val="auto"/>
          <w:highlight w:val="none"/>
        </w:rPr>
        <w:instrText xml:space="preserve"> PAGEREF _Toc26551 \h </w:instrText>
      </w:r>
      <w:r>
        <w:rPr>
          <w:color w:val="auto"/>
          <w:highlight w:val="none"/>
        </w:rPr>
        <w:fldChar w:fldCharType="separate"/>
      </w:r>
      <w:r>
        <w:rPr>
          <w:color w:val="auto"/>
          <w:highlight w:val="none"/>
        </w:rPr>
        <w:t>12</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_Toc10558 </w:instrText>
      </w:r>
      <w:r>
        <w:rPr>
          <w:rFonts w:hint="eastAsia"/>
          <w:color w:val="auto"/>
          <w:highlight w:val="none"/>
        </w:rPr>
        <w:fldChar w:fldCharType="separate"/>
      </w:r>
      <w:r>
        <w:rPr>
          <w:rFonts w:hint="eastAsia"/>
          <w:color w:val="auto"/>
          <w:highlight w:val="none"/>
        </w:rPr>
        <w:t>4.安全文明施工要求</w:t>
      </w:r>
      <w:r>
        <w:rPr>
          <w:color w:val="auto"/>
          <w:highlight w:val="none"/>
        </w:rPr>
        <w:tab/>
      </w:r>
      <w:r>
        <w:rPr>
          <w:color w:val="auto"/>
          <w:highlight w:val="none"/>
        </w:rPr>
        <w:fldChar w:fldCharType="begin"/>
      </w:r>
      <w:r>
        <w:rPr>
          <w:color w:val="auto"/>
          <w:highlight w:val="none"/>
        </w:rPr>
        <w:instrText xml:space="preserve"> PAGEREF _Toc10558 \h </w:instrText>
      </w:r>
      <w:r>
        <w:rPr>
          <w:color w:val="auto"/>
          <w:highlight w:val="none"/>
        </w:rPr>
        <w:fldChar w:fldCharType="separate"/>
      </w:r>
      <w:r>
        <w:rPr>
          <w:color w:val="auto"/>
          <w:highlight w:val="none"/>
        </w:rPr>
        <w:t>12</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_Toc23240 </w:instrText>
      </w:r>
      <w:r>
        <w:rPr>
          <w:rFonts w:hint="eastAsia"/>
          <w:color w:val="auto"/>
          <w:highlight w:val="none"/>
        </w:rPr>
        <w:fldChar w:fldCharType="separate"/>
      </w:r>
      <w:r>
        <w:rPr>
          <w:rFonts w:hint="eastAsia"/>
          <w:color w:val="auto"/>
          <w:highlight w:val="none"/>
        </w:rPr>
        <w:t>5.工期要求</w:t>
      </w:r>
      <w:r>
        <w:rPr>
          <w:color w:val="auto"/>
          <w:highlight w:val="none"/>
        </w:rPr>
        <w:tab/>
      </w:r>
      <w:r>
        <w:rPr>
          <w:color w:val="auto"/>
          <w:highlight w:val="none"/>
        </w:rPr>
        <w:fldChar w:fldCharType="begin"/>
      </w:r>
      <w:r>
        <w:rPr>
          <w:color w:val="auto"/>
          <w:highlight w:val="none"/>
        </w:rPr>
        <w:instrText xml:space="preserve"> PAGEREF _Toc23240 \h </w:instrText>
      </w:r>
      <w:r>
        <w:rPr>
          <w:color w:val="auto"/>
          <w:highlight w:val="none"/>
        </w:rPr>
        <w:fldChar w:fldCharType="separate"/>
      </w:r>
      <w:r>
        <w:rPr>
          <w:color w:val="auto"/>
          <w:highlight w:val="none"/>
        </w:rPr>
        <w:t>12</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_Toc27519 </w:instrText>
      </w:r>
      <w:r>
        <w:rPr>
          <w:rFonts w:hint="eastAsia"/>
          <w:color w:val="auto"/>
          <w:highlight w:val="none"/>
        </w:rPr>
        <w:fldChar w:fldCharType="separate"/>
      </w:r>
      <w:r>
        <w:rPr>
          <w:rFonts w:hint="eastAsia"/>
          <w:color w:val="auto"/>
          <w:highlight w:val="none"/>
        </w:rPr>
        <w:t>6. 投标有效期</w:t>
      </w:r>
      <w:r>
        <w:rPr>
          <w:color w:val="auto"/>
          <w:highlight w:val="none"/>
        </w:rPr>
        <w:tab/>
      </w:r>
      <w:r>
        <w:rPr>
          <w:color w:val="auto"/>
          <w:highlight w:val="none"/>
        </w:rPr>
        <w:fldChar w:fldCharType="begin"/>
      </w:r>
      <w:r>
        <w:rPr>
          <w:color w:val="auto"/>
          <w:highlight w:val="none"/>
        </w:rPr>
        <w:instrText xml:space="preserve"> PAGEREF _Toc27519 \h </w:instrText>
      </w:r>
      <w:r>
        <w:rPr>
          <w:color w:val="auto"/>
          <w:highlight w:val="none"/>
        </w:rPr>
        <w:fldChar w:fldCharType="separate"/>
      </w:r>
      <w:r>
        <w:rPr>
          <w:color w:val="auto"/>
          <w:highlight w:val="none"/>
        </w:rPr>
        <w:t>13</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_Toc29256 </w:instrText>
      </w:r>
      <w:r>
        <w:rPr>
          <w:rFonts w:hint="eastAsia"/>
          <w:color w:val="auto"/>
          <w:highlight w:val="none"/>
        </w:rPr>
        <w:fldChar w:fldCharType="separate"/>
      </w:r>
      <w:r>
        <w:rPr>
          <w:rFonts w:hint="eastAsia"/>
          <w:color w:val="auto"/>
          <w:highlight w:val="none"/>
        </w:rPr>
        <w:t>7.投标保证金相关约定</w:t>
      </w:r>
      <w:r>
        <w:rPr>
          <w:color w:val="auto"/>
          <w:highlight w:val="none"/>
        </w:rPr>
        <w:tab/>
      </w:r>
      <w:r>
        <w:rPr>
          <w:color w:val="auto"/>
          <w:highlight w:val="none"/>
        </w:rPr>
        <w:fldChar w:fldCharType="begin"/>
      </w:r>
      <w:r>
        <w:rPr>
          <w:color w:val="auto"/>
          <w:highlight w:val="none"/>
        </w:rPr>
        <w:instrText xml:space="preserve"> PAGEREF _Toc29256 \h </w:instrText>
      </w:r>
      <w:r>
        <w:rPr>
          <w:color w:val="auto"/>
          <w:highlight w:val="none"/>
        </w:rPr>
        <w:fldChar w:fldCharType="separate"/>
      </w:r>
      <w:r>
        <w:rPr>
          <w:color w:val="auto"/>
          <w:highlight w:val="none"/>
        </w:rPr>
        <w:t>13</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_Toc30798 </w:instrText>
      </w:r>
      <w:r>
        <w:rPr>
          <w:rFonts w:hint="eastAsia"/>
          <w:color w:val="auto"/>
          <w:highlight w:val="none"/>
        </w:rPr>
        <w:fldChar w:fldCharType="separate"/>
      </w:r>
      <w:r>
        <w:rPr>
          <w:rFonts w:hint="eastAsia"/>
          <w:color w:val="auto"/>
          <w:highlight w:val="none"/>
        </w:rPr>
        <w:t>8.工程现场条件</w:t>
      </w:r>
      <w:r>
        <w:rPr>
          <w:color w:val="auto"/>
          <w:highlight w:val="none"/>
        </w:rPr>
        <w:tab/>
      </w:r>
      <w:r>
        <w:rPr>
          <w:color w:val="auto"/>
          <w:highlight w:val="none"/>
        </w:rPr>
        <w:fldChar w:fldCharType="begin"/>
      </w:r>
      <w:r>
        <w:rPr>
          <w:color w:val="auto"/>
          <w:highlight w:val="none"/>
        </w:rPr>
        <w:instrText xml:space="preserve"> PAGEREF _Toc30798 \h </w:instrText>
      </w:r>
      <w:r>
        <w:rPr>
          <w:color w:val="auto"/>
          <w:highlight w:val="none"/>
        </w:rPr>
        <w:fldChar w:fldCharType="separate"/>
      </w:r>
      <w:r>
        <w:rPr>
          <w:color w:val="auto"/>
          <w:highlight w:val="none"/>
        </w:rPr>
        <w:t>13</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_Toc1928 </w:instrText>
      </w:r>
      <w:r>
        <w:rPr>
          <w:rFonts w:hint="eastAsia"/>
          <w:color w:val="auto"/>
          <w:highlight w:val="none"/>
        </w:rPr>
        <w:fldChar w:fldCharType="separate"/>
      </w:r>
      <w:r>
        <w:rPr>
          <w:rFonts w:hint="eastAsia"/>
          <w:color w:val="auto"/>
          <w:highlight w:val="none"/>
        </w:rPr>
        <w:t>9.投标费用</w:t>
      </w:r>
      <w:r>
        <w:rPr>
          <w:color w:val="auto"/>
          <w:highlight w:val="none"/>
        </w:rPr>
        <w:tab/>
      </w:r>
      <w:r>
        <w:rPr>
          <w:color w:val="auto"/>
          <w:highlight w:val="none"/>
        </w:rPr>
        <w:fldChar w:fldCharType="begin"/>
      </w:r>
      <w:r>
        <w:rPr>
          <w:color w:val="auto"/>
          <w:highlight w:val="none"/>
        </w:rPr>
        <w:instrText xml:space="preserve"> PAGEREF _Toc1928 \h </w:instrText>
      </w:r>
      <w:r>
        <w:rPr>
          <w:color w:val="auto"/>
          <w:highlight w:val="none"/>
        </w:rPr>
        <w:fldChar w:fldCharType="separate"/>
      </w:r>
      <w:r>
        <w:rPr>
          <w:color w:val="auto"/>
          <w:highlight w:val="none"/>
        </w:rPr>
        <w:t>13</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_Toc25768 </w:instrText>
      </w:r>
      <w:r>
        <w:rPr>
          <w:rFonts w:hint="eastAsia"/>
          <w:color w:val="auto"/>
          <w:highlight w:val="none"/>
        </w:rPr>
        <w:fldChar w:fldCharType="separate"/>
      </w:r>
      <w:r>
        <w:rPr>
          <w:rFonts w:hint="eastAsia"/>
          <w:color w:val="auto"/>
          <w:highlight w:val="none"/>
        </w:rPr>
        <w:t>10.投标文件递交截止时间</w:t>
      </w:r>
      <w:r>
        <w:rPr>
          <w:color w:val="auto"/>
          <w:highlight w:val="none"/>
        </w:rPr>
        <w:tab/>
      </w:r>
      <w:r>
        <w:rPr>
          <w:color w:val="auto"/>
          <w:highlight w:val="none"/>
        </w:rPr>
        <w:fldChar w:fldCharType="begin"/>
      </w:r>
      <w:r>
        <w:rPr>
          <w:color w:val="auto"/>
          <w:highlight w:val="none"/>
        </w:rPr>
        <w:instrText xml:space="preserve"> PAGEREF _Toc25768 \h </w:instrText>
      </w:r>
      <w:r>
        <w:rPr>
          <w:color w:val="auto"/>
          <w:highlight w:val="none"/>
        </w:rPr>
        <w:fldChar w:fldCharType="separate"/>
      </w:r>
      <w:r>
        <w:rPr>
          <w:color w:val="auto"/>
          <w:highlight w:val="none"/>
        </w:rPr>
        <w:t>13</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_Toc8403 </w:instrText>
      </w:r>
      <w:r>
        <w:rPr>
          <w:rFonts w:hint="eastAsia"/>
          <w:color w:val="auto"/>
          <w:highlight w:val="none"/>
        </w:rPr>
        <w:fldChar w:fldCharType="separate"/>
      </w:r>
      <w:r>
        <w:rPr>
          <w:rFonts w:hint="eastAsia"/>
          <w:color w:val="auto"/>
          <w:highlight w:val="none"/>
        </w:rPr>
        <w:t>11.保密协定</w:t>
      </w:r>
      <w:r>
        <w:rPr>
          <w:color w:val="auto"/>
          <w:highlight w:val="none"/>
        </w:rPr>
        <w:tab/>
      </w:r>
      <w:r>
        <w:rPr>
          <w:color w:val="auto"/>
          <w:highlight w:val="none"/>
        </w:rPr>
        <w:fldChar w:fldCharType="begin"/>
      </w:r>
      <w:r>
        <w:rPr>
          <w:color w:val="auto"/>
          <w:highlight w:val="none"/>
        </w:rPr>
        <w:instrText xml:space="preserve"> PAGEREF _Toc8403 \h </w:instrText>
      </w:r>
      <w:r>
        <w:rPr>
          <w:color w:val="auto"/>
          <w:highlight w:val="none"/>
        </w:rPr>
        <w:fldChar w:fldCharType="separate"/>
      </w:r>
      <w:r>
        <w:rPr>
          <w:color w:val="auto"/>
          <w:highlight w:val="none"/>
        </w:rPr>
        <w:t>13</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_Toc21983 </w:instrText>
      </w:r>
      <w:r>
        <w:rPr>
          <w:rFonts w:hint="eastAsia"/>
          <w:color w:val="auto"/>
          <w:highlight w:val="none"/>
        </w:rPr>
        <w:fldChar w:fldCharType="separate"/>
      </w:r>
      <w:r>
        <w:rPr>
          <w:rFonts w:hint="eastAsia"/>
          <w:color w:val="auto"/>
          <w:highlight w:val="none"/>
        </w:rPr>
        <w:t>12.语言文字</w:t>
      </w:r>
      <w:r>
        <w:rPr>
          <w:color w:val="auto"/>
          <w:highlight w:val="none"/>
        </w:rPr>
        <w:tab/>
      </w:r>
      <w:r>
        <w:rPr>
          <w:color w:val="auto"/>
          <w:highlight w:val="none"/>
        </w:rPr>
        <w:fldChar w:fldCharType="begin"/>
      </w:r>
      <w:r>
        <w:rPr>
          <w:color w:val="auto"/>
          <w:highlight w:val="none"/>
        </w:rPr>
        <w:instrText xml:space="preserve"> PAGEREF _Toc21983 \h </w:instrText>
      </w:r>
      <w:r>
        <w:rPr>
          <w:color w:val="auto"/>
          <w:highlight w:val="none"/>
        </w:rPr>
        <w:fldChar w:fldCharType="separate"/>
      </w:r>
      <w:r>
        <w:rPr>
          <w:color w:val="auto"/>
          <w:highlight w:val="none"/>
        </w:rPr>
        <w:t>14</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_Toc3457 </w:instrText>
      </w:r>
      <w:r>
        <w:rPr>
          <w:rFonts w:hint="eastAsia"/>
          <w:color w:val="auto"/>
          <w:highlight w:val="none"/>
        </w:rPr>
        <w:fldChar w:fldCharType="separate"/>
      </w:r>
      <w:r>
        <w:rPr>
          <w:rFonts w:hint="eastAsia"/>
          <w:color w:val="auto"/>
          <w:highlight w:val="none"/>
        </w:rPr>
        <w:t>13.现场踏勘</w:t>
      </w:r>
      <w:r>
        <w:rPr>
          <w:color w:val="auto"/>
          <w:highlight w:val="none"/>
        </w:rPr>
        <w:tab/>
      </w:r>
      <w:r>
        <w:rPr>
          <w:color w:val="auto"/>
          <w:highlight w:val="none"/>
        </w:rPr>
        <w:fldChar w:fldCharType="begin"/>
      </w:r>
      <w:r>
        <w:rPr>
          <w:color w:val="auto"/>
          <w:highlight w:val="none"/>
        </w:rPr>
        <w:instrText xml:space="preserve"> PAGEREF _Toc3457 \h </w:instrText>
      </w:r>
      <w:r>
        <w:rPr>
          <w:color w:val="auto"/>
          <w:highlight w:val="none"/>
        </w:rPr>
        <w:fldChar w:fldCharType="separate"/>
      </w:r>
      <w:r>
        <w:rPr>
          <w:color w:val="auto"/>
          <w:highlight w:val="none"/>
        </w:rPr>
        <w:t>14</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_Toc26617 </w:instrText>
      </w:r>
      <w:r>
        <w:rPr>
          <w:rFonts w:hint="eastAsia"/>
          <w:color w:val="auto"/>
          <w:highlight w:val="none"/>
        </w:rPr>
        <w:fldChar w:fldCharType="separate"/>
      </w:r>
      <w:r>
        <w:rPr>
          <w:rFonts w:hint="eastAsia"/>
          <w:color w:val="auto"/>
          <w:highlight w:val="none"/>
        </w:rPr>
        <w:t>14.招标文件的组成</w:t>
      </w:r>
      <w:r>
        <w:rPr>
          <w:color w:val="auto"/>
          <w:highlight w:val="none"/>
        </w:rPr>
        <w:tab/>
      </w:r>
      <w:r>
        <w:rPr>
          <w:color w:val="auto"/>
          <w:highlight w:val="none"/>
        </w:rPr>
        <w:fldChar w:fldCharType="begin"/>
      </w:r>
      <w:r>
        <w:rPr>
          <w:color w:val="auto"/>
          <w:highlight w:val="none"/>
        </w:rPr>
        <w:instrText xml:space="preserve"> PAGEREF _Toc26617 \h </w:instrText>
      </w:r>
      <w:r>
        <w:rPr>
          <w:color w:val="auto"/>
          <w:highlight w:val="none"/>
        </w:rPr>
        <w:fldChar w:fldCharType="separate"/>
      </w:r>
      <w:r>
        <w:rPr>
          <w:color w:val="auto"/>
          <w:highlight w:val="none"/>
        </w:rPr>
        <w:t>14</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_Toc869 </w:instrText>
      </w:r>
      <w:r>
        <w:rPr>
          <w:rFonts w:hint="eastAsia"/>
          <w:color w:val="auto"/>
          <w:highlight w:val="none"/>
        </w:rPr>
        <w:fldChar w:fldCharType="separate"/>
      </w:r>
      <w:r>
        <w:rPr>
          <w:rFonts w:hint="eastAsia"/>
          <w:color w:val="auto"/>
          <w:highlight w:val="none"/>
        </w:rPr>
        <w:t>15.招标文件的澄清</w:t>
      </w:r>
      <w:r>
        <w:rPr>
          <w:color w:val="auto"/>
          <w:highlight w:val="none"/>
        </w:rPr>
        <w:tab/>
      </w:r>
      <w:r>
        <w:rPr>
          <w:color w:val="auto"/>
          <w:highlight w:val="none"/>
        </w:rPr>
        <w:fldChar w:fldCharType="begin"/>
      </w:r>
      <w:r>
        <w:rPr>
          <w:color w:val="auto"/>
          <w:highlight w:val="none"/>
        </w:rPr>
        <w:instrText xml:space="preserve"> PAGEREF _Toc869 \h </w:instrText>
      </w:r>
      <w:r>
        <w:rPr>
          <w:color w:val="auto"/>
          <w:highlight w:val="none"/>
        </w:rPr>
        <w:fldChar w:fldCharType="separate"/>
      </w:r>
      <w:r>
        <w:rPr>
          <w:color w:val="auto"/>
          <w:highlight w:val="none"/>
        </w:rPr>
        <w:t>14</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_Toc25560 </w:instrText>
      </w:r>
      <w:r>
        <w:rPr>
          <w:rFonts w:hint="eastAsia"/>
          <w:color w:val="auto"/>
          <w:highlight w:val="none"/>
        </w:rPr>
        <w:fldChar w:fldCharType="separate"/>
      </w:r>
      <w:r>
        <w:rPr>
          <w:rFonts w:hint="eastAsia"/>
          <w:color w:val="auto"/>
          <w:highlight w:val="none"/>
        </w:rPr>
        <w:t>16.招标文件的修改</w:t>
      </w:r>
      <w:r>
        <w:rPr>
          <w:color w:val="auto"/>
          <w:highlight w:val="none"/>
        </w:rPr>
        <w:tab/>
      </w:r>
      <w:r>
        <w:rPr>
          <w:color w:val="auto"/>
          <w:highlight w:val="none"/>
        </w:rPr>
        <w:fldChar w:fldCharType="begin"/>
      </w:r>
      <w:r>
        <w:rPr>
          <w:color w:val="auto"/>
          <w:highlight w:val="none"/>
        </w:rPr>
        <w:instrText xml:space="preserve"> PAGEREF _Toc25560 \h </w:instrText>
      </w:r>
      <w:r>
        <w:rPr>
          <w:color w:val="auto"/>
          <w:highlight w:val="none"/>
        </w:rPr>
        <w:fldChar w:fldCharType="separate"/>
      </w:r>
      <w:r>
        <w:rPr>
          <w:color w:val="auto"/>
          <w:highlight w:val="none"/>
        </w:rPr>
        <w:t>14</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_Toc20684 </w:instrText>
      </w:r>
      <w:r>
        <w:rPr>
          <w:rFonts w:hint="eastAsia"/>
          <w:color w:val="auto"/>
          <w:highlight w:val="none"/>
        </w:rPr>
        <w:fldChar w:fldCharType="separate"/>
      </w:r>
      <w:r>
        <w:rPr>
          <w:rFonts w:hint="eastAsia"/>
          <w:color w:val="auto"/>
          <w:highlight w:val="none"/>
        </w:rPr>
        <w:t>17.投标文件的组成及编制</w:t>
      </w:r>
      <w:r>
        <w:rPr>
          <w:color w:val="auto"/>
          <w:highlight w:val="none"/>
        </w:rPr>
        <w:tab/>
      </w:r>
      <w:r>
        <w:rPr>
          <w:color w:val="auto"/>
          <w:highlight w:val="none"/>
        </w:rPr>
        <w:fldChar w:fldCharType="begin"/>
      </w:r>
      <w:r>
        <w:rPr>
          <w:color w:val="auto"/>
          <w:highlight w:val="none"/>
        </w:rPr>
        <w:instrText xml:space="preserve"> PAGEREF _Toc20684 \h </w:instrText>
      </w:r>
      <w:r>
        <w:rPr>
          <w:color w:val="auto"/>
          <w:highlight w:val="none"/>
        </w:rPr>
        <w:fldChar w:fldCharType="separate"/>
      </w:r>
      <w:r>
        <w:rPr>
          <w:color w:val="auto"/>
          <w:highlight w:val="none"/>
        </w:rPr>
        <w:t>15</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_Toc11197 </w:instrText>
      </w:r>
      <w:r>
        <w:rPr>
          <w:rFonts w:hint="eastAsia"/>
          <w:color w:val="auto"/>
          <w:highlight w:val="none"/>
        </w:rPr>
        <w:fldChar w:fldCharType="separate"/>
      </w:r>
      <w:r>
        <w:rPr>
          <w:rFonts w:hint="eastAsia"/>
          <w:color w:val="auto"/>
          <w:highlight w:val="none"/>
        </w:rPr>
        <w:t>17.1投标文件应包括下列内容：</w:t>
      </w:r>
      <w:r>
        <w:rPr>
          <w:color w:val="auto"/>
          <w:highlight w:val="none"/>
        </w:rPr>
        <w:tab/>
      </w:r>
      <w:r>
        <w:rPr>
          <w:color w:val="auto"/>
          <w:highlight w:val="none"/>
        </w:rPr>
        <w:fldChar w:fldCharType="begin"/>
      </w:r>
      <w:r>
        <w:rPr>
          <w:color w:val="auto"/>
          <w:highlight w:val="none"/>
        </w:rPr>
        <w:instrText xml:space="preserve"> PAGEREF _Toc11197 \h </w:instrText>
      </w:r>
      <w:r>
        <w:rPr>
          <w:color w:val="auto"/>
          <w:highlight w:val="none"/>
        </w:rPr>
        <w:fldChar w:fldCharType="separate"/>
      </w:r>
      <w:r>
        <w:rPr>
          <w:color w:val="auto"/>
          <w:highlight w:val="none"/>
        </w:rPr>
        <w:t>15</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_Toc3953 </w:instrText>
      </w:r>
      <w:r>
        <w:rPr>
          <w:rFonts w:hint="eastAsia"/>
          <w:color w:val="auto"/>
          <w:highlight w:val="none"/>
        </w:rPr>
        <w:fldChar w:fldCharType="separate"/>
      </w:r>
      <w:r>
        <w:rPr>
          <w:rFonts w:hint="eastAsia"/>
          <w:color w:val="auto"/>
          <w:highlight w:val="none"/>
        </w:rPr>
        <w:t>17.2投标文件的编制</w:t>
      </w:r>
      <w:r>
        <w:rPr>
          <w:color w:val="auto"/>
          <w:highlight w:val="none"/>
        </w:rPr>
        <w:tab/>
      </w:r>
      <w:r>
        <w:rPr>
          <w:color w:val="auto"/>
          <w:highlight w:val="none"/>
        </w:rPr>
        <w:fldChar w:fldCharType="begin"/>
      </w:r>
      <w:r>
        <w:rPr>
          <w:color w:val="auto"/>
          <w:highlight w:val="none"/>
        </w:rPr>
        <w:instrText xml:space="preserve"> PAGEREF _Toc3953 \h </w:instrText>
      </w:r>
      <w:r>
        <w:rPr>
          <w:color w:val="auto"/>
          <w:highlight w:val="none"/>
        </w:rPr>
        <w:fldChar w:fldCharType="separate"/>
      </w:r>
      <w:r>
        <w:rPr>
          <w:color w:val="auto"/>
          <w:highlight w:val="none"/>
        </w:rPr>
        <w:t>15</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_Toc14577 </w:instrText>
      </w:r>
      <w:r>
        <w:rPr>
          <w:rFonts w:hint="eastAsia"/>
          <w:color w:val="auto"/>
          <w:highlight w:val="none"/>
        </w:rPr>
        <w:fldChar w:fldCharType="separate"/>
      </w:r>
      <w:r>
        <w:rPr>
          <w:rFonts w:hint="eastAsia"/>
          <w:color w:val="auto"/>
          <w:highlight w:val="none"/>
        </w:rPr>
        <w:t>18.开标</w:t>
      </w:r>
      <w:r>
        <w:rPr>
          <w:color w:val="auto"/>
          <w:highlight w:val="none"/>
        </w:rPr>
        <w:tab/>
      </w:r>
      <w:r>
        <w:rPr>
          <w:color w:val="auto"/>
          <w:highlight w:val="none"/>
        </w:rPr>
        <w:fldChar w:fldCharType="begin"/>
      </w:r>
      <w:r>
        <w:rPr>
          <w:color w:val="auto"/>
          <w:highlight w:val="none"/>
        </w:rPr>
        <w:instrText xml:space="preserve"> PAGEREF _Toc14577 \h </w:instrText>
      </w:r>
      <w:r>
        <w:rPr>
          <w:color w:val="auto"/>
          <w:highlight w:val="none"/>
        </w:rPr>
        <w:fldChar w:fldCharType="separate"/>
      </w:r>
      <w:r>
        <w:rPr>
          <w:color w:val="auto"/>
          <w:highlight w:val="none"/>
        </w:rPr>
        <w:t>16</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_Toc26638 </w:instrText>
      </w:r>
      <w:r>
        <w:rPr>
          <w:rFonts w:hint="eastAsia"/>
          <w:color w:val="auto"/>
          <w:highlight w:val="none"/>
        </w:rPr>
        <w:fldChar w:fldCharType="separate"/>
      </w:r>
      <w:r>
        <w:rPr>
          <w:rFonts w:hint="eastAsia"/>
          <w:color w:val="auto"/>
          <w:highlight w:val="none"/>
        </w:rPr>
        <w:t>19.投标文件的澄清</w:t>
      </w:r>
      <w:r>
        <w:rPr>
          <w:color w:val="auto"/>
          <w:highlight w:val="none"/>
        </w:rPr>
        <w:tab/>
      </w:r>
      <w:r>
        <w:rPr>
          <w:color w:val="auto"/>
          <w:highlight w:val="none"/>
        </w:rPr>
        <w:fldChar w:fldCharType="begin"/>
      </w:r>
      <w:r>
        <w:rPr>
          <w:color w:val="auto"/>
          <w:highlight w:val="none"/>
        </w:rPr>
        <w:instrText xml:space="preserve"> PAGEREF _Toc26638 \h </w:instrText>
      </w:r>
      <w:r>
        <w:rPr>
          <w:color w:val="auto"/>
          <w:highlight w:val="none"/>
        </w:rPr>
        <w:fldChar w:fldCharType="separate"/>
      </w:r>
      <w:r>
        <w:rPr>
          <w:color w:val="auto"/>
          <w:highlight w:val="none"/>
        </w:rPr>
        <w:t>16</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_Toc7055 </w:instrText>
      </w:r>
      <w:r>
        <w:rPr>
          <w:rFonts w:hint="eastAsia"/>
          <w:color w:val="auto"/>
          <w:highlight w:val="none"/>
        </w:rPr>
        <w:fldChar w:fldCharType="separate"/>
      </w:r>
      <w:r>
        <w:rPr>
          <w:rFonts w:hint="eastAsia"/>
          <w:color w:val="auto"/>
          <w:highlight w:val="none"/>
        </w:rPr>
        <w:t>20. 评标</w:t>
      </w:r>
      <w:r>
        <w:rPr>
          <w:color w:val="auto"/>
          <w:highlight w:val="none"/>
        </w:rPr>
        <w:tab/>
      </w:r>
      <w:r>
        <w:rPr>
          <w:color w:val="auto"/>
          <w:highlight w:val="none"/>
        </w:rPr>
        <w:fldChar w:fldCharType="begin"/>
      </w:r>
      <w:r>
        <w:rPr>
          <w:color w:val="auto"/>
          <w:highlight w:val="none"/>
        </w:rPr>
        <w:instrText xml:space="preserve"> PAGEREF _Toc7055 \h </w:instrText>
      </w:r>
      <w:r>
        <w:rPr>
          <w:color w:val="auto"/>
          <w:highlight w:val="none"/>
        </w:rPr>
        <w:fldChar w:fldCharType="separate"/>
      </w:r>
      <w:r>
        <w:rPr>
          <w:color w:val="auto"/>
          <w:highlight w:val="none"/>
        </w:rPr>
        <w:t>17</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_Toc13169 </w:instrText>
      </w:r>
      <w:r>
        <w:rPr>
          <w:rFonts w:hint="eastAsia"/>
          <w:color w:val="auto"/>
          <w:highlight w:val="none"/>
        </w:rPr>
        <w:fldChar w:fldCharType="separate"/>
      </w:r>
      <w:r>
        <w:rPr>
          <w:rFonts w:hint="eastAsia"/>
          <w:color w:val="auto"/>
          <w:highlight w:val="none"/>
        </w:rPr>
        <w:t>21.中标通知书</w:t>
      </w:r>
      <w:r>
        <w:rPr>
          <w:color w:val="auto"/>
          <w:highlight w:val="none"/>
        </w:rPr>
        <w:tab/>
      </w:r>
      <w:r>
        <w:rPr>
          <w:color w:val="auto"/>
          <w:highlight w:val="none"/>
        </w:rPr>
        <w:fldChar w:fldCharType="begin"/>
      </w:r>
      <w:r>
        <w:rPr>
          <w:color w:val="auto"/>
          <w:highlight w:val="none"/>
        </w:rPr>
        <w:instrText xml:space="preserve"> PAGEREF _Toc13169 \h </w:instrText>
      </w:r>
      <w:r>
        <w:rPr>
          <w:color w:val="auto"/>
          <w:highlight w:val="none"/>
        </w:rPr>
        <w:fldChar w:fldCharType="separate"/>
      </w:r>
      <w:r>
        <w:rPr>
          <w:color w:val="auto"/>
          <w:highlight w:val="none"/>
        </w:rPr>
        <w:t>17</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_Toc13767 </w:instrText>
      </w:r>
      <w:r>
        <w:rPr>
          <w:rFonts w:hint="eastAsia"/>
          <w:color w:val="auto"/>
          <w:highlight w:val="none"/>
        </w:rPr>
        <w:fldChar w:fldCharType="separate"/>
      </w:r>
      <w:r>
        <w:rPr>
          <w:rFonts w:hint="eastAsia"/>
          <w:color w:val="auto"/>
          <w:highlight w:val="none"/>
        </w:rPr>
        <w:t>22.履约担保</w:t>
      </w:r>
      <w:r>
        <w:rPr>
          <w:color w:val="auto"/>
          <w:highlight w:val="none"/>
        </w:rPr>
        <w:tab/>
      </w:r>
      <w:r>
        <w:rPr>
          <w:color w:val="auto"/>
          <w:highlight w:val="none"/>
        </w:rPr>
        <w:fldChar w:fldCharType="begin"/>
      </w:r>
      <w:r>
        <w:rPr>
          <w:color w:val="auto"/>
          <w:highlight w:val="none"/>
        </w:rPr>
        <w:instrText xml:space="preserve"> PAGEREF _Toc13767 \h </w:instrText>
      </w:r>
      <w:r>
        <w:rPr>
          <w:color w:val="auto"/>
          <w:highlight w:val="none"/>
        </w:rPr>
        <w:fldChar w:fldCharType="separate"/>
      </w:r>
      <w:r>
        <w:rPr>
          <w:color w:val="auto"/>
          <w:highlight w:val="none"/>
        </w:rPr>
        <w:t>17</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_Toc27969 </w:instrText>
      </w:r>
      <w:r>
        <w:rPr>
          <w:rFonts w:hint="eastAsia"/>
          <w:color w:val="auto"/>
          <w:highlight w:val="none"/>
        </w:rPr>
        <w:fldChar w:fldCharType="separate"/>
      </w:r>
      <w:r>
        <w:rPr>
          <w:rFonts w:hint="eastAsia"/>
          <w:color w:val="auto"/>
          <w:highlight w:val="none"/>
        </w:rPr>
        <w:t>23.合同的签订</w:t>
      </w:r>
      <w:r>
        <w:rPr>
          <w:color w:val="auto"/>
          <w:highlight w:val="none"/>
        </w:rPr>
        <w:tab/>
      </w:r>
      <w:r>
        <w:rPr>
          <w:color w:val="auto"/>
          <w:highlight w:val="none"/>
        </w:rPr>
        <w:fldChar w:fldCharType="begin"/>
      </w:r>
      <w:r>
        <w:rPr>
          <w:color w:val="auto"/>
          <w:highlight w:val="none"/>
        </w:rPr>
        <w:instrText xml:space="preserve"> PAGEREF _Toc27969 \h </w:instrText>
      </w:r>
      <w:r>
        <w:rPr>
          <w:color w:val="auto"/>
          <w:highlight w:val="none"/>
        </w:rPr>
        <w:fldChar w:fldCharType="separate"/>
      </w:r>
      <w:r>
        <w:rPr>
          <w:color w:val="auto"/>
          <w:highlight w:val="none"/>
        </w:rPr>
        <w:t>17</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_Toc30226 </w:instrText>
      </w:r>
      <w:r>
        <w:rPr>
          <w:rFonts w:hint="eastAsia"/>
          <w:color w:val="auto"/>
          <w:highlight w:val="none"/>
        </w:rPr>
        <w:fldChar w:fldCharType="separate"/>
      </w:r>
      <w:r>
        <w:rPr>
          <w:rFonts w:hint="eastAsia"/>
          <w:color w:val="auto"/>
          <w:highlight w:val="none"/>
        </w:rPr>
        <w:t>24.重新招标</w:t>
      </w:r>
      <w:r>
        <w:rPr>
          <w:color w:val="auto"/>
          <w:highlight w:val="none"/>
        </w:rPr>
        <w:tab/>
      </w:r>
      <w:r>
        <w:rPr>
          <w:color w:val="auto"/>
          <w:highlight w:val="none"/>
        </w:rPr>
        <w:fldChar w:fldCharType="begin"/>
      </w:r>
      <w:r>
        <w:rPr>
          <w:color w:val="auto"/>
          <w:highlight w:val="none"/>
        </w:rPr>
        <w:instrText xml:space="preserve"> PAGEREF _Toc30226 \h </w:instrText>
      </w:r>
      <w:r>
        <w:rPr>
          <w:color w:val="auto"/>
          <w:highlight w:val="none"/>
        </w:rPr>
        <w:fldChar w:fldCharType="separate"/>
      </w:r>
      <w:r>
        <w:rPr>
          <w:color w:val="auto"/>
          <w:highlight w:val="none"/>
        </w:rPr>
        <w:t>17</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_Toc19920 </w:instrText>
      </w:r>
      <w:r>
        <w:rPr>
          <w:rFonts w:hint="eastAsia"/>
          <w:color w:val="auto"/>
          <w:highlight w:val="none"/>
        </w:rPr>
        <w:fldChar w:fldCharType="separate"/>
      </w:r>
      <w:r>
        <w:rPr>
          <w:rFonts w:hint="eastAsia"/>
          <w:color w:val="auto"/>
          <w:highlight w:val="none"/>
        </w:rPr>
        <w:t>25.廉洁建设</w:t>
      </w:r>
      <w:r>
        <w:rPr>
          <w:color w:val="auto"/>
          <w:highlight w:val="none"/>
        </w:rPr>
        <w:tab/>
      </w:r>
      <w:r>
        <w:rPr>
          <w:color w:val="auto"/>
          <w:highlight w:val="none"/>
        </w:rPr>
        <w:fldChar w:fldCharType="begin"/>
      </w:r>
      <w:r>
        <w:rPr>
          <w:color w:val="auto"/>
          <w:highlight w:val="none"/>
        </w:rPr>
        <w:instrText xml:space="preserve"> PAGEREF _Toc19920 \h </w:instrText>
      </w:r>
      <w:r>
        <w:rPr>
          <w:color w:val="auto"/>
          <w:highlight w:val="none"/>
        </w:rPr>
        <w:fldChar w:fldCharType="separate"/>
      </w:r>
      <w:r>
        <w:rPr>
          <w:color w:val="auto"/>
          <w:highlight w:val="none"/>
        </w:rPr>
        <w:t>18</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_Toc12336 </w:instrText>
      </w:r>
      <w:r>
        <w:rPr>
          <w:rFonts w:hint="eastAsia"/>
          <w:color w:val="auto"/>
          <w:highlight w:val="none"/>
        </w:rPr>
        <w:fldChar w:fldCharType="separate"/>
      </w:r>
      <w:r>
        <w:rPr>
          <w:rFonts w:hint="eastAsia"/>
          <w:color w:val="auto"/>
          <w:highlight w:val="none"/>
        </w:rPr>
        <w:t>26.需要补充的其他内容</w:t>
      </w:r>
      <w:r>
        <w:rPr>
          <w:color w:val="auto"/>
          <w:highlight w:val="none"/>
        </w:rPr>
        <w:tab/>
      </w:r>
      <w:r>
        <w:rPr>
          <w:color w:val="auto"/>
          <w:highlight w:val="none"/>
        </w:rPr>
        <w:fldChar w:fldCharType="begin"/>
      </w:r>
      <w:r>
        <w:rPr>
          <w:color w:val="auto"/>
          <w:highlight w:val="none"/>
        </w:rPr>
        <w:instrText xml:space="preserve"> PAGEREF _Toc12336 \h </w:instrText>
      </w:r>
      <w:r>
        <w:rPr>
          <w:color w:val="auto"/>
          <w:highlight w:val="none"/>
        </w:rPr>
        <w:fldChar w:fldCharType="separate"/>
      </w:r>
      <w:r>
        <w:rPr>
          <w:color w:val="auto"/>
          <w:highlight w:val="none"/>
        </w:rPr>
        <w:t>18</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_Toc19383 </w:instrText>
      </w:r>
      <w:r>
        <w:rPr>
          <w:rFonts w:hint="eastAsia"/>
          <w:color w:val="auto"/>
          <w:highlight w:val="none"/>
        </w:rPr>
        <w:fldChar w:fldCharType="separate"/>
      </w:r>
      <w:r>
        <w:rPr>
          <w:rFonts w:hint="eastAsia"/>
          <w:color w:val="auto"/>
          <w:highlight w:val="none"/>
        </w:rPr>
        <w:t>第三章  评标办法</w:t>
      </w:r>
      <w:r>
        <w:rPr>
          <w:color w:val="auto"/>
          <w:highlight w:val="none"/>
        </w:rPr>
        <w:tab/>
      </w:r>
      <w:r>
        <w:rPr>
          <w:color w:val="auto"/>
          <w:highlight w:val="none"/>
        </w:rPr>
        <w:fldChar w:fldCharType="begin"/>
      </w:r>
      <w:r>
        <w:rPr>
          <w:color w:val="auto"/>
          <w:highlight w:val="none"/>
        </w:rPr>
        <w:instrText xml:space="preserve"> PAGEREF _Toc19383 \h </w:instrText>
      </w:r>
      <w:r>
        <w:rPr>
          <w:color w:val="auto"/>
          <w:highlight w:val="none"/>
        </w:rPr>
        <w:fldChar w:fldCharType="separate"/>
      </w:r>
      <w:r>
        <w:rPr>
          <w:color w:val="auto"/>
          <w:highlight w:val="none"/>
        </w:rPr>
        <w:t>21</w:t>
      </w:r>
      <w:r>
        <w:rPr>
          <w:color w:val="auto"/>
          <w:highlight w:val="none"/>
        </w:rPr>
        <w:fldChar w:fldCharType="end"/>
      </w:r>
      <w:r>
        <w:rPr>
          <w:rFonts w:hint="eastAsia"/>
          <w:color w:val="auto"/>
          <w:highlight w:val="none"/>
        </w:rPr>
        <w:fldChar w:fldCharType="end"/>
      </w:r>
    </w:p>
    <w:p>
      <w:pPr>
        <w:pStyle w:val="13"/>
        <w:bidi w:val="0"/>
        <w:rPr>
          <w:rFonts w:hint="eastAsia" w:eastAsia="宋体"/>
          <w:color w:val="auto"/>
          <w:highlight w:val="none"/>
          <w:lang w:val="en-US" w:eastAsia="zh-CN"/>
        </w:rPr>
      </w:pPr>
      <w:r>
        <w:rPr>
          <w:rFonts w:hint="eastAsia"/>
          <w:color w:val="auto"/>
          <w:highlight w:val="none"/>
        </w:rPr>
        <w:fldChar w:fldCharType="begin"/>
      </w:r>
      <w:r>
        <w:rPr>
          <w:rFonts w:hint="eastAsia"/>
          <w:color w:val="auto"/>
          <w:highlight w:val="none"/>
        </w:rPr>
        <w:instrText xml:space="preserve"> HYPERLINK \l _Toc29411 </w:instrText>
      </w:r>
      <w:r>
        <w:rPr>
          <w:rFonts w:hint="eastAsia"/>
          <w:color w:val="auto"/>
          <w:highlight w:val="none"/>
        </w:rPr>
        <w:fldChar w:fldCharType="separate"/>
      </w:r>
      <w:r>
        <w:rPr>
          <w:rFonts w:hint="eastAsia"/>
          <w:color w:val="auto"/>
          <w:highlight w:val="none"/>
        </w:rPr>
        <w:t>一、评标办法前附表</w:t>
      </w:r>
      <w:r>
        <w:rPr>
          <w:color w:val="auto"/>
          <w:highlight w:val="none"/>
        </w:rPr>
        <w:tab/>
      </w:r>
      <w:r>
        <w:rPr>
          <w:rFonts w:hint="eastAsia"/>
          <w:color w:val="auto"/>
          <w:highlight w:val="none"/>
          <w:lang w:val="en-US" w:eastAsia="zh-CN"/>
        </w:rPr>
        <w:t>2</w:t>
      </w:r>
      <w:r>
        <w:rPr>
          <w:rFonts w:hint="eastAsia"/>
          <w:color w:val="auto"/>
          <w:highlight w:val="none"/>
        </w:rPr>
        <w:fldChar w:fldCharType="end"/>
      </w:r>
      <w:r>
        <w:rPr>
          <w:rFonts w:hint="eastAsia"/>
          <w:color w:val="auto"/>
          <w:highlight w:val="none"/>
          <w:lang w:val="en-US" w:eastAsia="zh-CN"/>
        </w:rPr>
        <w:t>1</w:t>
      </w:r>
    </w:p>
    <w:p>
      <w:pPr>
        <w:pStyle w:val="13"/>
        <w:bidi w:val="0"/>
        <w:rPr>
          <w:rFonts w:hint="eastAsia" w:eastAsia="宋体"/>
          <w:color w:val="auto"/>
          <w:highlight w:val="none"/>
          <w:lang w:val="en-US" w:eastAsia="zh-CN"/>
        </w:rPr>
      </w:pPr>
      <w:r>
        <w:rPr>
          <w:rFonts w:hint="eastAsia"/>
          <w:color w:val="auto"/>
          <w:highlight w:val="none"/>
        </w:rPr>
        <w:fldChar w:fldCharType="begin"/>
      </w:r>
      <w:r>
        <w:rPr>
          <w:rFonts w:hint="eastAsia"/>
          <w:color w:val="auto"/>
          <w:highlight w:val="none"/>
        </w:rPr>
        <w:instrText xml:space="preserve"> HYPERLINK \l _Toc2824 </w:instrText>
      </w:r>
      <w:r>
        <w:rPr>
          <w:rFonts w:hint="eastAsia"/>
          <w:color w:val="auto"/>
          <w:highlight w:val="none"/>
        </w:rPr>
        <w:fldChar w:fldCharType="separate"/>
      </w:r>
      <w:r>
        <w:rPr>
          <w:rFonts w:hint="eastAsia"/>
          <w:color w:val="auto"/>
          <w:highlight w:val="none"/>
        </w:rPr>
        <w:t>二、评标办法</w:t>
      </w:r>
      <w:r>
        <w:rPr>
          <w:color w:val="auto"/>
          <w:highlight w:val="none"/>
        </w:rPr>
        <w:tab/>
      </w:r>
      <w:r>
        <w:rPr>
          <w:rFonts w:hint="eastAsia"/>
          <w:color w:val="auto"/>
          <w:highlight w:val="none"/>
          <w:lang w:val="en-US" w:eastAsia="zh-CN"/>
        </w:rPr>
        <w:t>2</w:t>
      </w:r>
      <w:r>
        <w:rPr>
          <w:rFonts w:hint="eastAsia"/>
          <w:color w:val="auto"/>
          <w:highlight w:val="none"/>
        </w:rPr>
        <w:fldChar w:fldCharType="end"/>
      </w:r>
      <w:r>
        <w:rPr>
          <w:rFonts w:hint="eastAsia"/>
          <w:color w:val="auto"/>
          <w:highlight w:val="none"/>
          <w:lang w:val="en-US" w:eastAsia="zh-CN"/>
        </w:rPr>
        <w:t>5</w:t>
      </w:r>
    </w:p>
    <w:p>
      <w:pPr>
        <w:pStyle w:val="13"/>
        <w:bidi w:val="0"/>
        <w:rPr>
          <w:rFonts w:hint="eastAsia" w:eastAsia="宋体"/>
          <w:color w:val="auto"/>
          <w:highlight w:val="none"/>
          <w:lang w:val="en-US" w:eastAsia="zh-CN"/>
        </w:rPr>
      </w:pPr>
      <w:r>
        <w:rPr>
          <w:rFonts w:hint="eastAsia"/>
          <w:color w:val="auto"/>
          <w:highlight w:val="none"/>
        </w:rPr>
        <w:fldChar w:fldCharType="begin"/>
      </w:r>
      <w:r>
        <w:rPr>
          <w:rFonts w:hint="eastAsia"/>
          <w:color w:val="auto"/>
          <w:highlight w:val="none"/>
        </w:rPr>
        <w:instrText xml:space="preserve"> HYPERLINK \l _Toc26827 </w:instrText>
      </w:r>
      <w:r>
        <w:rPr>
          <w:rFonts w:hint="eastAsia"/>
          <w:color w:val="auto"/>
          <w:highlight w:val="none"/>
        </w:rPr>
        <w:fldChar w:fldCharType="separate"/>
      </w:r>
      <w:r>
        <w:rPr>
          <w:rFonts w:hint="eastAsia"/>
          <w:color w:val="auto"/>
          <w:highlight w:val="none"/>
        </w:rPr>
        <w:t>三、否决投标条件</w:t>
      </w:r>
      <w:r>
        <w:rPr>
          <w:color w:val="auto"/>
          <w:highlight w:val="none"/>
        </w:rPr>
        <w:tab/>
      </w:r>
      <w:r>
        <w:rPr>
          <w:rFonts w:hint="eastAsia"/>
          <w:color w:val="auto"/>
          <w:highlight w:val="none"/>
          <w:lang w:val="en-US" w:eastAsia="zh-CN"/>
        </w:rPr>
        <w:t>3</w:t>
      </w:r>
      <w:r>
        <w:rPr>
          <w:rFonts w:hint="eastAsia"/>
          <w:color w:val="auto"/>
          <w:highlight w:val="none"/>
        </w:rPr>
        <w:fldChar w:fldCharType="end"/>
      </w:r>
      <w:r>
        <w:rPr>
          <w:rFonts w:hint="eastAsia"/>
          <w:color w:val="auto"/>
          <w:highlight w:val="none"/>
          <w:lang w:val="en-US" w:eastAsia="zh-CN"/>
        </w:rPr>
        <w:t>3</w:t>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_Toc12123 </w:instrText>
      </w:r>
      <w:r>
        <w:rPr>
          <w:rFonts w:hint="eastAsia"/>
          <w:color w:val="auto"/>
          <w:highlight w:val="none"/>
        </w:rPr>
        <w:fldChar w:fldCharType="separate"/>
      </w:r>
      <w:r>
        <w:rPr>
          <w:rFonts w:hint="eastAsia"/>
          <w:color w:val="auto"/>
          <w:highlight w:val="none"/>
          <w:lang w:val="en-US" w:eastAsia="zh-CN"/>
        </w:rPr>
        <w:t>四、 中标通知书格式</w:t>
      </w:r>
      <w:r>
        <w:rPr>
          <w:color w:val="auto"/>
          <w:highlight w:val="none"/>
        </w:rPr>
        <w:tab/>
      </w:r>
      <w:r>
        <w:rPr>
          <w:color w:val="auto"/>
          <w:highlight w:val="none"/>
        </w:rPr>
        <w:fldChar w:fldCharType="begin"/>
      </w:r>
      <w:r>
        <w:rPr>
          <w:color w:val="auto"/>
          <w:highlight w:val="none"/>
        </w:rPr>
        <w:instrText xml:space="preserve"> PAGEREF _Toc12123 \h </w:instrText>
      </w:r>
      <w:r>
        <w:rPr>
          <w:color w:val="auto"/>
          <w:highlight w:val="none"/>
        </w:rPr>
        <w:fldChar w:fldCharType="separate"/>
      </w:r>
      <w:r>
        <w:rPr>
          <w:color w:val="auto"/>
          <w:highlight w:val="none"/>
        </w:rPr>
        <w:t>32</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_Toc1228 </w:instrText>
      </w:r>
      <w:r>
        <w:rPr>
          <w:rFonts w:hint="eastAsia"/>
          <w:color w:val="auto"/>
          <w:highlight w:val="none"/>
        </w:rPr>
        <w:fldChar w:fldCharType="separate"/>
      </w:r>
      <w:r>
        <w:rPr>
          <w:rFonts w:hint="eastAsia"/>
          <w:color w:val="auto"/>
          <w:highlight w:val="none"/>
        </w:rPr>
        <w:t>第四章 工程量清单</w:t>
      </w:r>
      <w:r>
        <w:rPr>
          <w:color w:val="auto"/>
          <w:highlight w:val="none"/>
        </w:rPr>
        <w:tab/>
      </w:r>
      <w:r>
        <w:rPr>
          <w:color w:val="auto"/>
          <w:highlight w:val="none"/>
        </w:rPr>
        <w:fldChar w:fldCharType="begin"/>
      </w:r>
      <w:r>
        <w:rPr>
          <w:color w:val="auto"/>
          <w:highlight w:val="none"/>
        </w:rPr>
        <w:instrText xml:space="preserve"> PAGEREF _Toc1228 \h </w:instrText>
      </w:r>
      <w:r>
        <w:rPr>
          <w:color w:val="auto"/>
          <w:highlight w:val="none"/>
        </w:rPr>
        <w:fldChar w:fldCharType="separate"/>
      </w:r>
      <w:r>
        <w:rPr>
          <w:color w:val="auto"/>
          <w:highlight w:val="none"/>
        </w:rPr>
        <w:t>34</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_Toc28424 </w:instrText>
      </w:r>
      <w:r>
        <w:rPr>
          <w:rFonts w:hint="eastAsia"/>
          <w:color w:val="auto"/>
          <w:highlight w:val="none"/>
        </w:rPr>
        <w:fldChar w:fldCharType="separate"/>
      </w:r>
      <w:r>
        <w:rPr>
          <w:rFonts w:hint="eastAsia"/>
          <w:color w:val="auto"/>
          <w:highlight w:val="none"/>
        </w:rPr>
        <w:t>一、工程量清单说明</w:t>
      </w:r>
      <w:r>
        <w:rPr>
          <w:color w:val="auto"/>
          <w:highlight w:val="none"/>
        </w:rPr>
        <w:tab/>
      </w:r>
      <w:r>
        <w:rPr>
          <w:color w:val="auto"/>
          <w:highlight w:val="none"/>
        </w:rPr>
        <w:fldChar w:fldCharType="begin"/>
      </w:r>
      <w:r>
        <w:rPr>
          <w:color w:val="auto"/>
          <w:highlight w:val="none"/>
        </w:rPr>
        <w:instrText xml:space="preserve"> PAGEREF _Toc28424 \h </w:instrText>
      </w:r>
      <w:r>
        <w:rPr>
          <w:color w:val="auto"/>
          <w:highlight w:val="none"/>
        </w:rPr>
        <w:fldChar w:fldCharType="separate"/>
      </w:r>
      <w:r>
        <w:rPr>
          <w:color w:val="auto"/>
          <w:highlight w:val="none"/>
        </w:rPr>
        <w:t>34</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_Toc32476 </w:instrText>
      </w:r>
      <w:r>
        <w:rPr>
          <w:rFonts w:hint="eastAsia"/>
          <w:color w:val="auto"/>
          <w:highlight w:val="none"/>
        </w:rPr>
        <w:fldChar w:fldCharType="separate"/>
      </w:r>
      <w:r>
        <w:rPr>
          <w:rFonts w:hint="eastAsia"/>
          <w:color w:val="auto"/>
          <w:highlight w:val="none"/>
        </w:rPr>
        <w:t>二、投标报价说明</w:t>
      </w:r>
      <w:r>
        <w:rPr>
          <w:color w:val="auto"/>
          <w:highlight w:val="none"/>
        </w:rPr>
        <w:tab/>
      </w:r>
      <w:r>
        <w:rPr>
          <w:color w:val="auto"/>
          <w:highlight w:val="none"/>
        </w:rPr>
        <w:fldChar w:fldCharType="begin"/>
      </w:r>
      <w:r>
        <w:rPr>
          <w:color w:val="auto"/>
          <w:highlight w:val="none"/>
        </w:rPr>
        <w:instrText xml:space="preserve"> PAGEREF _Toc32476 \h </w:instrText>
      </w:r>
      <w:r>
        <w:rPr>
          <w:color w:val="auto"/>
          <w:highlight w:val="none"/>
        </w:rPr>
        <w:fldChar w:fldCharType="separate"/>
      </w:r>
      <w:r>
        <w:rPr>
          <w:color w:val="auto"/>
          <w:highlight w:val="none"/>
        </w:rPr>
        <w:t>34</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_Toc31035 </w:instrText>
      </w:r>
      <w:r>
        <w:rPr>
          <w:rFonts w:hint="eastAsia"/>
          <w:color w:val="auto"/>
          <w:highlight w:val="none"/>
        </w:rPr>
        <w:fldChar w:fldCharType="separate"/>
      </w:r>
      <w:r>
        <w:rPr>
          <w:rFonts w:hint="eastAsia"/>
          <w:color w:val="auto"/>
          <w:highlight w:val="none"/>
        </w:rPr>
        <w:t>第五章  图  纸</w:t>
      </w:r>
      <w:r>
        <w:rPr>
          <w:color w:val="auto"/>
          <w:highlight w:val="none"/>
        </w:rPr>
        <w:tab/>
      </w:r>
      <w:r>
        <w:rPr>
          <w:color w:val="auto"/>
          <w:highlight w:val="none"/>
        </w:rPr>
        <w:fldChar w:fldCharType="begin"/>
      </w:r>
      <w:r>
        <w:rPr>
          <w:color w:val="auto"/>
          <w:highlight w:val="none"/>
        </w:rPr>
        <w:instrText xml:space="preserve"> PAGEREF _Toc31035 \h </w:instrText>
      </w:r>
      <w:r>
        <w:rPr>
          <w:color w:val="auto"/>
          <w:highlight w:val="none"/>
        </w:rPr>
        <w:fldChar w:fldCharType="separate"/>
      </w:r>
      <w:r>
        <w:rPr>
          <w:color w:val="auto"/>
          <w:highlight w:val="none"/>
        </w:rPr>
        <w:t>45</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_Toc3131 </w:instrText>
      </w:r>
      <w:r>
        <w:rPr>
          <w:rFonts w:hint="eastAsia"/>
          <w:color w:val="auto"/>
          <w:highlight w:val="none"/>
        </w:rPr>
        <w:fldChar w:fldCharType="separate"/>
      </w:r>
      <w:r>
        <w:rPr>
          <w:rFonts w:hint="eastAsia"/>
          <w:color w:val="auto"/>
          <w:highlight w:val="none"/>
        </w:rPr>
        <w:t>第六章  技术标准和要求</w:t>
      </w:r>
      <w:r>
        <w:rPr>
          <w:color w:val="auto"/>
          <w:highlight w:val="none"/>
        </w:rPr>
        <w:tab/>
      </w:r>
      <w:r>
        <w:rPr>
          <w:color w:val="auto"/>
          <w:highlight w:val="none"/>
        </w:rPr>
        <w:fldChar w:fldCharType="begin"/>
      </w:r>
      <w:r>
        <w:rPr>
          <w:color w:val="auto"/>
          <w:highlight w:val="none"/>
        </w:rPr>
        <w:instrText xml:space="preserve"> PAGEREF _Toc3131 \h </w:instrText>
      </w:r>
      <w:r>
        <w:rPr>
          <w:color w:val="auto"/>
          <w:highlight w:val="none"/>
        </w:rPr>
        <w:fldChar w:fldCharType="separate"/>
      </w:r>
      <w:r>
        <w:rPr>
          <w:color w:val="auto"/>
          <w:highlight w:val="none"/>
        </w:rPr>
        <w:t>46</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_Toc3544 </w:instrText>
      </w:r>
      <w:r>
        <w:rPr>
          <w:rFonts w:hint="eastAsia"/>
          <w:color w:val="auto"/>
          <w:highlight w:val="none"/>
        </w:rPr>
        <w:fldChar w:fldCharType="separate"/>
      </w:r>
      <w:r>
        <w:rPr>
          <w:rFonts w:hint="eastAsia"/>
          <w:color w:val="auto"/>
          <w:highlight w:val="none"/>
        </w:rPr>
        <w:t>第七章  专业分包投标文件格式</w:t>
      </w:r>
      <w:r>
        <w:rPr>
          <w:color w:val="auto"/>
          <w:highlight w:val="none"/>
        </w:rPr>
        <w:tab/>
      </w:r>
      <w:r>
        <w:rPr>
          <w:color w:val="auto"/>
          <w:highlight w:val="none"/>
        </w:rPr>
        <w:fldChar w:fldCharType="begin"/>
      </w:r>
      <w:r>
        <w:rPr>
          <w:color w:val="auto"/>
          <w:highlight w:val="none"/>
        </w:rPr>
        <w:instrText xml:space="preserve"> PAGEREF _Toc3544 \h </w:instrText>
      </w:r>
      <w:r>
        <w:rPr>
          <w:color w:val="auto"/>
          <w:highlight w:val="none"/>
        </w:rPr>
        <w:fldChar w:fldCharType="separate"/>
      </w:r>
      <w:r>
        <w:rPr>
          <w:color w:val="auto"/>
          <w:highlight w:val="none"/>
        </w:rPr>
        <w:t>47</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_Toc22103 </w:instrText>
      </w:r>
      <w:r>
        <w:rPr>
          <w:rFonts w:hint="eastAsia"/>
          <w:color w:val="auto"/>
          <w:highlight w:val="none"/>
        </w:rPr>
        <w:fldChar w:fldCharType="separate"/>
      </w:r>
      <w:r>
        <w:rPr>
          <w:rFonts w:hint="eastAsia"/>
          <w:color w:val="auto"/>
          <w:highlight w:val="none"/>
        </w:rPr>
        <w:t>一、投标报价（唱标）一览表</w:t>
      </w:r>
      <w:r>
        <w:rPr>
          <w:color w:val="auto"/>
          <w:highlight w:val="none"/>
        </w:rPr>
        <w:tab/>
      </w:r>
      <w:r>
        <w:rPr>
          <w:color w:val="auto"/>
          <w:highlight w:val="none"/>
        </w:rPr>
        <w:fldChar w:fldCharType="begin"/>
      </w:r>
      <w:r>
        <w:rPr>
          <w:color w:val="auto"/>
          <w:highlight w:val="none"/>
        </w:rPr>
        <w:instrText xml:space="preserve"> PAGEREF _Toc22103 \h </w:instrText>
      </w:r>
      <w:r>
        <w:rPr>
          <w:color w:val="auto"/>
          <w:highlight w:val="none"/>
        </w:rPr>
        <w:fldChar w:fldCharType="separate"/>
      </w:r>
      <w:r>
        <w:rPr>
          <w:color w:val="auto"/>
          <w:highlight w:val="none"/>
        </w:rPr>
        <w:t>49</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_Toc23875 </w:instrText>
      </w:r>
      <w:r>
        <w:rPr>
          <w:rFonts w:hint="eastAsia"/>
          <w:color w:val="auto"/>
          <w:highlight w:val="none"/>
        </w:rPr>
        <w:fldChar w:fldCharType="separate"/>
      </w:r>
      <w:r>
        <w:rPr>
          <w:rFonts w:hint="eastAsia"/>
          <w:color w:val="auto"/>
          <w:highlight w:val="none"/>
        </w:rPr>
        <w:t>二、投  标  函</w:t>
      </w:r>
      <w:r>
        <w:rPr>
          <w:color w:val="auto"/>
          <w:highlight w:val="none"/>
        </w:rPr>
        <w:tab/>
      </w:r>
      <w:r>
        <w:rPr>
          <w:color w:val="auto"/>
          <w:highlight w:val="none"/>
        </w:rPr>
        <w:fldChar w:fldCharType="begin"/>
      </w:r>
      <w:r>
        <w:rPr>
          <w:color w:val="auto"/>
          <w:highlight w:val="none"/>
        </w:rPr>
        <w:instrText xml:space="preserve"> PAGEREF _Toc23875 \h </w:instrText>
      </w:r>
      <w:r>
        <w:rPr>
          <w:color w:val="auto"/>
          <w:highlight w:val="none"/>
        </w:rPr>
        <w:fldChar w:fldCharType="separate"/>
      </w:r>
      <w:r>
        <w:rPr>
          <w:color w:val="auto"/>
          <w:highlight w:val="none"/>
        </w:rPr>
        <w:t>50</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_Toc3570 </w:instrText>
      </w:r>
      <w:r>
        <w:rPr>
          <w:rFonts w:hint="eastAsia"/>
          <w:color w:val="auto"/>
          <w:highlight w:val="none"/>
        </w:rPr>
        <w:fldChar w:fldCharType="separate"/>
      </w:r>
      <w:r>
        <w:rPr>
          <w:rFonts w:hint="eastAsia"/>
          <w:color w:val="auto"/>
          <w:highlight w:val="none"/>
        </w:rPr>
        <w:t>三、法定代表人身份证明</w:t>
      </w:r>
      <w:r>
        <w:rPr>
          <w:color w:val="auto"/>
          <w:highlight w:val="none"/>
        </w:rPr>
        <w:tab/>
      </w:r>
      <w:r>
        <w:rPr>
          <w:color w:val="auto"/>
          <w:highlight w:val="none"/>
        </w:rPr>
        <w:fldChar w:fldCharType="begin"/>
      </w:r>
      <w:r>
        <w:rPr>
          <w:color w:val="auto"/>
          <w:highlight w:val="none"/>
        </w:rPr>
        <w:instrText xml:space="preserve"> PAGEREF _Toc3570 \h </w:instrText>
      </w:r>
      <w:r>
        <w:rPr>
          <w:color w:val="auto"/>
          <w:highlight w:val="none"/>
        </w:rPr>
        <w:fldChar w:fldCharType="separate"/>
      </w:r>
      <w:r>
        <w:rPr>
          <w:color w:val="auto"/>
          <w:highlight w:val="none"/>
        </w:rPr>
        <w:t>51</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_Toc14207 </w:instrText>
      </w:r>
      <w:r>
        <w:rPr>
          <w:rFonts w:hint="eastAsia"/>
          <w:color w:val="auto"/>
          <w:highlight w:val="none"/>
        </w:rPr>
        <w:fldChar w:fldCharType="separate"/>
      </w:r>
      <w:r>
        <w:rPr>
          <w:rFonts w:hint="eastAsia"/>
          <w:color w:val="auto"/>
          <w:highlight w:val="none"/>
        </w:rPr>
        <w:t>四、授权委托书</w:t>
      </w:r>
      <w:r>
        <w:rPr>
          <w:color w:val="auto"/>
          <w:highlight w:val="none"/>
        </w:rPr>
        <w:tab/>
      </w:r>
      <w:r>
        <w:rPr>
          <w:color w:val="auto"/>
          <w:highlight w:val="none"/>
        </w:rPr>
        <w:fldChar w:fldCharType="begin"/>
      </w:r>
      <w:r>
        <w:rPr>
          <w:color w:val="auto"/>
          <w:highlight w:val="none"/>
        </w:rPr>
        <w:instrText xml:space="preserve"> PAGEREF _Toc14207 \h </w:instrText>
      </w:r>
      <w:r>
        <w:rPr>
          <w:color w:val="auto"/>
          <w:highlight w:val="none"/>
        </w:rPr>
        <w:fldChar w:fldCharType="separate"/>
      </w:r>
      <w:r>
        <w:rPr>
          <w:color w:val="auto"/>
          <w:highlight w:val="none"/>
        </w:rPr>
        <w:t>52</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_Toc9275 </w:instrText>
      </w:r>
      <w:r>
        <w:rPr>
          <w:rFonts w:hint="eastAsia"/>
          <w:color w:val="auto"/>
          <w:highlight w:val="none"/>
        </w:rPr>
        <w:fldChar w:fldCharType="separate"/>
      </w:r>
      <w:r>
        <w:rPr>
          <w:rFonts w:hint="eastAsia"/>
          <w:color w:val="auto"/>
          <w:highlight w:val="none"/>
        </w:rPr>
        <w:t>五、投标保证金缴纳凭证</w:t>
      </w:r>
      <w:r>
        <w:rPr>
          <w:color w:val="auto"/>
          <w:highlight w:val="none"/>
        </w:rPr>
        <w:tab/>
      </w:r>
      <w:r>
        <w:rPr>
          <w:color w:val="auto"/>
          <w:highlight w:val="none"/>
        </w:rPr>
        <w:fldChar w:fldCharType="begin"/>
      </w:r>
      <w:r>
        <w:rPr>
          <w:color w:val="auto"/>
          <w:highlight w:val="none"/>
        </w:rPr>
        <w:instrText xml:space="preserve"> PAGEREF _Toc9275 \h </w:instrText>
      </w:r>
      <w:r>
        <w:rPr>
          <w:color w:val="auto"/>
          <w:highlight w:val="none"/>
        </w:rPr>
        <w:fldChar w:fldCharType="separate"/>
      </w:r>
      <w:r>
        <w:rPr>
          <w:color w:val="auto"/>
          <w:highlight w:val="none"/>
        </w:rPr>
        <w:t>53</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_Toc3403 </w:instrText>
      </w:r>
      <w:r>
        <w:rPr>
          <w:rFonts w:hint="eastAsia"/>
          <w:color w:val="auto"/>
          <w:highlight w:val="none"/>
        </w:rPr>
        <w:fldChar w:fldCharType="separate"/>
      </w:r>
      <w:r>
        <w:rPr>
          <w:rFonts w:hint="eastAsia"/>
          <w:color w:val="auto"/>
          <w:highlight w:val="none"/>
        </w:rPr>
        <w:t>六、投标单位基本情况</w:t>
      </w:r>
      <w:r>
        <w:rPr>
          <w:color w:val="auto"/>
          <w:highlight w:val="none"/>
        </w:rPr>
        <w:tab/>
      </w:r>
      <w:r>
        <w:rPr>
          <w:color w:val="auto"/>
          <w:highlight w:val="none"/>
        </w:rPr>
        <w:fldChar w:fldCharType="begin"/>
      </w:r>
      <w:r>
        <w:rPr>
          <w:color w:val="auto"/>
          <w:highlight w:val="none"/>
        </w:rPr>
        <w:instrText xml:space="preserve"> PAGEREF _Toc3403 \h </w:instrText>
      </w:r>
      <w:r>
        <w:rPr>
          <w:color w:val="auto"/>
          <w:highlight w:val="none"/>
        </w:rPr>
        <w:fldChar w:fldCharType="separate"/>
      </w:r>
      <w:r>
        <w:rPr>
          <w:color w:val="auto"/>
          <w:highlight w:val="none"/>
        </w:rPr>
        <w:t>54</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_Toc16895 </w:instrText>
      </w:r>
      <w:r>
        <w:rPr>
          <w:rFonts w:hint="eastAsia"/>
          <w:color w:val="auto"/>
          <w:highlight w:val="none"/>
        </w:rPr>
        <w:fldChar w:fldCharType="separate"/>
      </w:r>
      <w:r>
        <w:rPr>
          <w:rFonts w:hint="eastAsia"/>
          <w:color w:val="auto"/>
          <w:highlight w:val="none"/>
        </w:rPr>
        <w:t>1.投标单位基本情况表</w:t>
      </w:r>
      <w:r>
        <w:rPr>
          <w:color w:val="auto"/>
          <w:highlight w:val="none"/>
        </w:rPr>
        <w:tab/>
      </w:r>
      <w:r>
        <w:rPr>
          <w:color w:val="auto"/>
          <w:highlight w:val="none"/>
        </w:rPr>
        <w:fldChar w:fldCharType="begin"/>
      </w:r>
      <w:r>
        <w:rPr>
          <w:color w:val="auto"/>
          <w:highlight w:val="none"/>
        </w:rPr>
        <w:instrText xml:space="preserve"> PAGEREF _Toc16895 \h </w:instrText>
      </w:r>
      <w:r>
        <w:rPr>
          <w:color w:val="auto"/>
          <w:highlight w:val="none"/>
        </w:rPr>
        <w:fldChar w:fldCharType="separate"/>
      </w:r>
      <w:r>
        <w:rPr>
          <w:color w:val="auto"/>
          <w:highlight w:val="none"/>
        </w:rPr>
        <w:t>54</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_Toc6949 </w:instrText>
      </w:r>
      <w:r>
        <w:rPr>
          <w:rFonts w:hint="eastAsia"/>
          <w:color w:val="auto"/>
          <w:highlight w:val="none"/>
        </w:rPr>
        <w:fldChar w:fldCharType="separate"/>
      </w:r>
      <w:r>
        <w:rPr>
          <w:rFonts w:hint="eastAsia"/>
          <w:color w:val="auto"/>
          <w:highlight w:val="none"/>
        </w:rPr>
        <w:t>2.近年财务状况</w:t>
      </w:r>
      <w:r>
        <w:rPr>
          <w:color w:val="auto"/>
          <w:highlight w:val="none"/>
        </w:rPr>
        <w:tab/>
      </w:r>
      <w:r>
        <w:rPr>
          <w:color w:val="auto"/>
          <w:highlight w:val="none"/>
        </w:rPr>
        <w:fldChar w:fldCharType="begin"/>
      </w:r>
      <w:r>
        <w:rPr>
          <w:color w:val="auto"/>
          <w:highlight w:val="none"/>
        </w:rPr>
        <w:instrText xml:space="preserve"> PAGEREF _Toc6949 \h </w:instrText>
      </w:r>
      <w:r>
        <w:rPr>
          <w:color w:val="auto"/>
          <w:highlight w:val="none"/>
        </w:rPr>
        <w:fldChar w:fldCharType="separate"/>
      </w:r>
      <w:r>
        <w:rPr>
          <w:color w:val="auto"/>
          <w:highlight w:val="none"/>
        </w:rPr>
        <w:t>56</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_Toc5409 </w:instrText>
      </w:r>
      <w:r>
        <w:rPr>
          <w:rFonts w:hint="eastAsia"/>
          <w:color w:val="auto"/>
          <w:highlight w:val="none"/>
        </w:rPr>
        <w:fldChar w:fldCharType="separate"/>
      </w:r>
      <w:r>
        <w:rPr>
          <w:rFonts w:hint="eastAsia"/>
          <w:color w:val="auto"/>
          <w:highlight w:val="none"/>
        </w:rPr>
        <w:t>3.近年发生的诉讼和仲裁情况</w:t>
      </w:r>
      <w:r>
        <w:rPr>
          <w:color w:val="auto"/>
          <w:highlight w:val="none"/>
        </w:rPr>
        <w:tab/>
      </w:r>
      <w:r>
        <w:rPr>
          <w:color w:val="auto"/>
          <w:highlight w:val="none"/>
        </w:rPr>
        <w:fldChar w:fldCharType="begin"/>
      </w:r>
      <w:r>
        <w:rPr>
          <w:color w:val="auto"/>
          <w:highlight w:val="none"/>
        </w:rPr>
        <w:instrText xml:space="preserve"> PAGEREF _Toc5409 \h </w:instrText>
      </w:r>
      <w:r>
        <w:rPr>
          <w:color w:val="auto"/>
          <w:highlight w:val="none"/>
        </w:rPr>
        <w:fldChar w:fldCharType="separate"/>
      </w:r>
      <w:r>
        <w:rPr>
          <w:color w:val="auto"/>
          <w:highlight w:val="none"/>
        </w:rPr>
        <w:t>57</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_Toc5461 </w:instrText>
      </w:r>
      <w:r>
        <w:rPr>
          <w:rFonts w:hint="eastAsia"/>
          <w:color w:val="auto"/>
          <w:highlight w:val="none"/>
        </w:rPr>
        <w:fldChar w:fldCharType="separate"/>
      </w:r>
      <w:r>
        <w:rPr>
          <w:rFonts w:hint="eastAsia"/>
          <w:color w:val="auto"/>
          <w:highlight w:val="none"/>
        </w:rPr>
        <w:t>七、已标价工程量清单</w:t>
      </w:r>
      <w:r>
        <w:rPr>
          <w:color w:val="auto"/>
          <w:highlight w:val="none"/>
        </w:rPr>
        <w:tab/>
      </w:r>
      <w:r>
        <w:rPr>
          <w:color w:val="auto"/>
          <w:highlight w:val="none"/>
        </w:rPr>
        <w:fldChar w:fldCharType="begin"/>
      </w:r>
      <w:r>
        <w:rPr>
          <w:color w:val="auto"/>
          <w:highlight w:val="none"/>
        </w:rPr>
        <w:instrText xml:space="preserve"> PAGEREF _Toc5461 \h </w:instrText>
      </w:r>
      <w:r>
        <w:rPr>
          <w:color w:val="auto"/>
          <w:highlight w:val="none"/>
        </w:rPr>
        <w:fldChar w:fldCharType="separate"/>
      </w:r>
      <w:r>
        <w:rPr>
          <w:color w:val="auto"/>
          <w:highlight w:val="none"/>
        </w:rPr>
        <w:t>58</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_Toc3823 </w:instrText>
      </w:r>
      <w:r>
        <w:rPr>
          <w:rFonts w:hint="eastAsia"/>
          <w:color w:val="auto"/>
          <w:highlight w:val="none"/>
        </w:rPr>
        <w:fldChar w:fldCharType="separate"/>
      </w:r>
      <w:r>
        <w:rPr>
          <w:rFonts w:hint="eastAsia"/>
          <w:color w:val="auto"/>
          <w:highlight w:val="none"/>
        </w:rPr>
        <w:t>八、分包工程施工组织设计/方案</w:t>
      </w:r>
      <w:r>
        <w:rPr>
          <w:color w:val="auto"/>
          <w:highlight w:val="none"/>
        </w:rPr>
        <w:tab/>
      </w:r>
      <w:r>
        <w:rPr>
          <w:color w:val="auto"/>
          <w:highlight w:val="none"/>
        </w:rPr>
        <w:fldChar w:fldCharType="begin"/>
      </w:r>
      <w:r>
        <w:rPr>
          <w:color w:val="auto"/>
          <w:highlight w:val="none"/>
        </w:rPr>
        <w:instrText xml:space="preserve"> PAGEREF _Toc3823 \h </w:instrText>
      </w:r>
      <w:r>
        <w:rPr>
          <w:color w:val="auto"/>
          <w:highlight w:val="none"/>
        </w:rPr>
        <w:fldChar w:fldCharType="separate"/>
      </w:r>
      <w:r>
        <w:rPr>
          <w:color w:val="auto"/>
          <w:highlight w:val="none"/>
        </w:rPr>
        <w:t>59</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_Toc9589 </w:instrText>
      </w:r>
      <w:r>
        <w:rPr>
          <w:rFonts w:hint="eastAsia"/>
          <w:color w:val="auto"/>
          <w:highlight w:val="none"/>
        </w:rPr>
        <w:fldChar w:fldCharType="separate"/>
      </w:r>
      <w:r>
        <w:rPr>
          <w:rFonts w:hint="eastAsia"/>
          <w:color w:val="auto"/>
          <w:highlight w:val="none"/>
        </w:rPr>
        <w:t>九、项目经理简历表</w:t>
      </w:r>
      <w:r>
        <w:rPr>
          <w:color w:val="auto"/>
          <w:highlight w:val="none"/>
        </w:rPr>
        <w:tab/>
      </w:r>
      <w:r>
        <w:rPr>
          <w:color w:val="auto"/>
          <w:highlight w:val="none"/>
        </w:rPr>
        <w:fldChar w:fldCharType="begin"/>
      </w:r>
      <w:r>
        <w:rPr>
          <w:color w:val="auto"/>
          <w:highlight w:val="none"/>
        </w:rPr>
        <w:instrText xml:space="preserve"> PAGEREF _Toc9589 \h </w:instrText>
      </w:r>
      <w:r>
        <w:rPr>
          <w:color w:val="auto"/>
          <w:highlight w:val="none"/>
        </w:rPr>
        <w:fldChar w:fldCharType="separate"/>
      </w:r>
      <w:r>
        <w:rPr>
          <w:color w:val="auto"/>
          <w:highlight w:val="none"/>
        </w:rPr>
        <w:t>64</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_Toc16917 </w:instrText>
      </w:r>
      <w:r>
        <w:rPr>
          <w:rFonts w:hint="eastAsia"/>
          <w:color w:val="auto"/>
          <w:highlight w:val="none"/>
        </w:rPr>
        <w:fldChar w:fldCharType="separate"/>
      </w:r>
      <w:r>
        <w:rPr>
          <w:rFonts w:hint="eastAsia"/>
          <w:color w:val="auto"/>
          <w:highlight w:val="none"/>
        </w:rPr>
        <w:t>十、技术负责人简历表</w:t>
      </w:r>
      <w:r>
        <w:rPr>
          <w:color w:val="auto"/>
          <w:highlight w:val="none"/>
        </w:rPr>
        <w:tab/>
      </w:r>
      <w:r>
        <w:rPr>
          <w:color w:val="auto"/>
          <w:highlight w:val="none"/>
        </w:rPr>
        <w:fldChar w:fldCharType="begin"/>
      </w:r>
      <w:r>
        <w:rPr>
          <w:color w:val="auto"/>
          <w:highlight w:val="none"/>
        </w:rPr>
        <w:instrText xml:space="preserve"> PAGEREF _Toc16917 \h </w:instrText>
      </w:r>
      <w:r>
        <w:rPr>
          <w:color w:val="auto"/>
          <w:highlight w:val="none"/>
        </w:rPr>
        <w:fldChar w:fldCharType="separate"/>
      </w:r>
      <w:r>
        <w:rPr>
          <w:color w:val="auto"/>
          <w:highlight w:val="none"/>
        </w:rPr>
        <w:t>65</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_Toc19727 </w:instrText>
      </w:r>
      <w:r>
        <w:rPr>
          <w:rFonts w:hint="eastAsia"/>
          <w:color w:val="auto"/>
          <w:highlight w:val="none"/>
        </w:rPr>
        <w:fldChar w:fldCharType="separate"/>
      </w:r>
      <w:r>
        <w:rPr>
          <w:rFonts w:hint="eastAsia"/>
          <w:color w:val="auto"/>
          <w:highlight w:val="none"/>
        </w:rPr>
        <w:t>十一、拟委任的其他主要管理人员表</w:t>
      </w:r>
      <w:r>
        <w:rPr>
          <w:color w:val="auto"/>
          <w:highlight w:val="none"/>
        </w:rPr>
        <w:tab/>
      </w:r>
      <w:r>
        <w:rPr>
          <w:color w:val="auto"/>
          <w:highlight w:val="none"/>
        </w:rPr>
        <w:fldChar w:fldCharType="begin"/>
      </w:r>
      <w:r>
        <w:rPr>
          <w:color w:val="auto"/>
          <w:highlight w:val="none"/>
        </w:rPr>
        <w:instrText xml:space="preserve"> PAGEREF _Toc19727 \h </w:instrText>
      </w:r>
      <w:r>
        <w:rPr>
          <w:color w:val="auto"/>
          <w:highlight w:val="none"/>
        </w:rPr>
        <w:fldChar w:fldCharType="separate"/>
      </w:r>
      <w:r>
        <w:rPr>
          <w:color w:val="auto"/>
          <w:highlight w:val="none"/>
        </w:rPr>
        <w:t>66</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_Toc17727 </w:instrText>
      </w:r>
      <w:r>
        <w:rPr>
          <w:rFonts w:hint="eastAsia"/>
          <w:color w:val="auto"/>
          <w:highlight w:val="none"/>
        </w:rPr>
        <w:fldChar w:fldCharType="separate"/>
      </w:r>
      <w:r>
        <w:rPr>
          <w:rFonts w:hint="eastAsia"/>
          <w:color w:val="auto"/>
          <w:highlight w:val="none"/>
        </w:rPr>
        <w:t>十二、投标单位业绩</w:t>
      </w:r>
      <w:r>
        <w:rPr>
          <w:color w:val="auto"/>
          <w:highlight w:val="none"/>
        </w:rPr>
        <w:tab/>
      </w:r>
      <w:r>
        <w:rPr>
          <w:color w:val="auto"/>
          <w:highlight w:val="none"/>
        </w:rPr>
        <w:fldChar w:fldCharType="begin"/>
      </w:r>
      <w:r>
        <w:rPr>
          <w:color w:val="auto"/>
          <w:highlight w:val="none"/>
        </w:rPr>
        <w:instrText xml:space="preserve"> PAGEREF _Toc17727 \h </w:instrText>
      </w:r>
      <w:r>
        <w:rPr>
          <w:color w:val="auto"/>
          <w:highlight w:val="none"/>
        </w:rPr>
        <w:fldChar w:fldCharType="separate"/>
      </w:r>
      <w:r>
        <w:rPr>
          <w:color w:val="auto"/>
          <w:highlight w:val="none"/>
        </w:rPr>
        <w:t>67</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_Toc7749 </w:instrText>
      </w:r>
      <w:r>
        <w:rPr>
          <w:rFonts w:hint="eastAsia"/>
          <w:color w:val="auto"/>
          <w:highlight w:val="none"/>
        </w:rPr>
        <w:fldChar w:fldCharType="separate"/>
      </w:r>
      <w:r>
        <w:rPr>
          <w:rFonts w:hint="eastAsia"/>
          <w:color w:val="auto"/>
          <w:highlight w:val="none"/>
        </w:rPr>
        <w:t>十三、承 诺 书</w:t>
      </w:r>
      <w:r>
        <w:rPr>
          <w:color w:val="auto"/>
          <w:highlight w:val="none"/>
        </w:rPr>
        <w:tab/>
      </w:r>
      <w:r>
        <w:rPr>
          <w:color w:val="auto"/>
          <w:highlight w:val="none"/>
        </w:rPr>
        <w:fldChar w:fldCharType="begin"/>
      </w:r>
      <w:r>
        <w:rPr>
          <w:color w:val="auto"/>
          <w:highlight w:val="none"/>
        </w:rPr>
        <w:instrText xml:space="preserve"> PAGEREF _Toc7749 \h </w:instrText>
      </w:r>
      <w:r>
        <w:rPr>
          <w:color w:val="auto"/>
          <w:highlight w:val="none"/>
        </w:rPr>
        <w:fldChar w:fldCharType="separate"/>
      </w:r>
      <w:r>
        <w:rPr>
          <w:color w:val="auto"/>
          <w:highlight w:val="none"/>
        </w:rPr>
        <w:t>68</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_Toc26532 </w:instrText>
      </w:r>
      <w:r>
        <w:rPr>
          <w:rFonts w:hint="eastAsia"/>
          <w:color w:val="auto"/>
          <w:highlight w:val="none"/>
        </w:rPr>
        <w:fldChar w:fldCharType="separate"/>
      </w:r>
      <w:r>
        <w:rPr>
          <w:rFonts w:hint="eastAsia"/>
          <w:color w:val="auto"/>
          <w:highlight w:val="none"/>
          <w:lang w:val="en-US" w:eastAsia="zh-CN"/>
        </w:rPr>
        <w:t>十四、</w:t>
      </w:r>
      <w:r>
        <w:rPr>
          <w:rFonts w:hint="eastAsia"/>
          <w:color w:val="auto"/>
          <w:highlight w:val="none"/>
        </w:rPr>
        <w:t>关于严禁采取停工、围堵等恶劣方式解决合同纠纷的承诺函</w:t>
      </w:r>
      <w:r>
        <w:rPr>
          <w:color w:val="auto"/>
          <w:highlight w:val="none"/>
        </w:rPr>
        <w:tab/>
      </w:r>
      <w:r>
        <w:rPr>
          <w:color w:val="auto"/>
          <w:highlight w:val="none"/>
        </w:rPr>
        <w:fldChar w:fldCharType="begin"/>
      </w:r>
      <w:r>
        <w:rPr>
          <w:color w:val="auto"/>
          <w:highlight w:val="none"/>
        </w:rPr>
        <w:instrText xml:space="preserve"> PAGEREF _Toc26532 \h </w:instrText>
      </w:r>
      <w:r>
        <w:rPr>
          <w:color w:val="auto"/>
          <w:highlight w:val="none"/>
        </w:rPr>
        <w:fldChar w:fldCharType="separate"/>
      </w:r>
      <w:r>
        <w:rPr>
          <w:color w:val="auto"/>
          <w:highlight w:val="none"/>
        </w:rPr>
        <w:t>70</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_Toc672 </w:instrText>
      </w:r>
      <w:r>
        <w:rPr>
          <w:rFonts w:hint="eastAsia"/>
          <w:color w:val="auto"/>
          <w:highlight w:val="none"/>
        </w:rPr>
        <w:fldChar w:fldCharType="separate"/>
      </w:r>
      <w:r>
        <w:rPr>
          <w:rFonts w:hint="eastAsia"/>
          <w:color w:val="auto"/>
          <w:highlight w:val="none"/>
          <w:lang w:val="en-US" w:eastAsia="zh-CN"/>
        </w:rPr>
        <w:t>十五、关于农民工实名制管理的承诺函</w:t>
      </w:r>
      <w:r>
        <w:rPr>
          <w:color w:val="auto"/>
          <w:highlight w:val="none"/>
        </w:rPr>
        <w:tab/>
      </w:r>
      <w:r>
        <w:rPr>
          <w:color w:val="auto"/>
          <w:highlight w:val="none"/>
        </w:rPr>
        <w:fldChar w:fldCharType="begin"/>
      </w:r>
      <w:r>
        <w:rPr>
          <w:color w:val="auto"/>
          <w:highlight w:val="none"/>
        </w:rPr>
        <w:instrText xml:space="preserve"> PAGEREF _Toc672 \h </w:instrText>
      </w:r>
      <w:r>
        <w:rPr>
          <w:color w:val="auto"/>
          <w:highlight w:val="none"/>
        </w:rPr>
        <w:fldChar w:fldCharType="separate"/>
      </w:r>
      <w:r>
        <w:rPr>
          <w:color w:val="auto"/>
          <w:highlight w:val="none"/>
        </w:rPr>
        <w:t>72</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_Toc12051 </w:instrText>
      </w:r>
      <w:r>
        <w:rPr>
          <w:rFonts w:hint="eastAsia"/>
          <w:color w:val="auto"/>
          <w:highlight w:val="none"/>
        </w:rPr>
        <w:fldChar w:fldCharType="separate"/>
      </w:r>
      <w:r>
        <w:rPr>
          <w:rFonts w:hint="eastAsia"/>
          <w:color w:val="auto"/>
          <w:highlight w:val="none"/>
        </w:rPr>
        <w:t>第二</w:t>
      </w:r>
      <w:r>
        <w:rPr>
          <w:rFonts w:hint="eastAsia"/>
          <w:color w:val="auto"/>
          <w:highlight w:val="none"/>
          <w:lang w:val="en-US" w:eastAsia="zh-CN"/>
        </w:rPr>
        <w:t>篇</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管理要求</w:t>
      </w:r>
      <w:r>
        <w:rPr>
          <w:color w:val="auto"/>
          <w:highlight w:val="none"/>
        </w:rPr>
        <w:tab/>
      </w:r>
      <w:r>
        <w:rPr>
          <w:color w:val="auto"/>
          <w:highlight w:val="none"/>
        </w:rPr>
        <w:fldChar w:fldCharType="begin"/>
      </w:r>
      <w:r>
        <w:rPr>
          <w:color w:val="auto"/>
          <w:highlight w:val="none"/>
        </w:rPr>
        <w:instrText xml:space="preserve"> PAGEREF _Toc12051 \h </w:instrText>
      </w:r>
      <w:r>
        <w:rPr>
          <w:color w:val="auto"/>
          <w:highlight w:val="none"/>
        </w:rPr>
        <w:fldChar w:fldCharType="separate"/>
      </w:r>
      <w:r>
        <w:rPr>
          <w:color w:val="auto"/>
          <w:highlight w:val="none"/>
        </w:rPr>
        <w:t>74</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_Toc18809 </w:instrText>
      </w:r>
      <w:r>
        <w:rPr>
          <w:rFonts w:hint="eastAsia"/>
          <w:color w:val="auto"/>
          <w:highlight w:val="none"/>
        </w:rPr>
        <w:fldChar w:fldCharType="separate"/>
      </w:r>
      <w:r>
        <w:rPr>
          <w:rFonts w:hint="eastAsia"/>
          <w:color w:val="auto"/>
          <w:highlight w:val="none"/>
          <w:lang w:val="en-US" w:eastAsia="zh-CN"/>
        </w:rPr>
        <w:t>第一章 基本要求</w:t>
      </w:r>
      <w:r>
        <w:rPr>
          <w:color w:val="auto"/>
          <w:highlight w:val="none"/>
        </w:rPr>
        <w:tab/>
      </w:r>
      <w:r>
        <w:rPr>
          <w:color w:val="auto"/>
          <w:highlight w:val="none"/>
        </w:rPr>
        <w:fldChar w:fldCharType="begin"/>
      </w:r>
      <w:r>
        <w:rPr>
          <w:color w:val="auto"/>
          <w:highlight w:val="none"/>
        </w:rPr>
        <w:instrText xml:space="preserve"> PAGEREF _Toc18809 \h </w:instrText>
      </w:r>
      <w:r>
        <w:rPr>
          <w:color w:val="auto"/>
          <w:highlight w:val="none"/>
        </w:rPr>
        <w:fldChar w:fldCharType="separate"/>
      </w:r>
      <w:r>
        <w:rPr>
          <w:color w:val="auto"/>
          <w:highlight w:val="none"/>
        </w:rPr>
        <w:t>75</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_Toc4918 </w:instrText>
      </w:r>
      <w:r>
        <w:rPr>
          <w:rFonts w:hint="eastAsia"/>
          <w:color w:val="auto"/>
          <w:highlight w:val="none"/>
        </w:rPr>
        <w:fldChar w:fldCharType="separate"/>
      </w:r>
      <w:r>
        <w:rPr>
          <w:rFonts w:hint="eastAsia"/>
          <w:color w:val="auto"/>
          <w:highlight w:val="none"/>
          <w:lang w:val="en-US" w:eastAsia="zh-CN"/>
        </w:rPr>
        <w:t>第一节 安全管理相关要求</w:t>
      </w:r>
      <w:r>
        <w:rPr>
          <w:color w:val="auto"/>
          <w:highlight w:val="none"/>
        </w:rPr>
        <w:tab/>
      </w:r>
      <w:r>
        <w:rPr>
          <w:color w:val="auto"/>
          <w:highlight w:val="none"/>
        </w:rPr>
        <w:fldChar w:fldCharType="begin"/>
      </w:r>
      <w:r>
        <w:rPr>
          <w:color w:val="auto"/>
          <w:highlight w:val="none"/>
        </w:rPr>
        <w:instrText xml:space="preserve"> PAGEREF _Toc4918 \h </w:instrText>
      </w:r>
      <w:r>
        <w:rPr>
          <w:color w:val="auto"/>
          <w:highlight w:val="none"/>
        </w:rPr>
        <w:fldChar w:fldCharType="separate"/>
      </w:r>
      <w:r>
        <w:rPr>
          <w:color w:val="auto"/>
          <w:highlight w:val="none"/>
        </w:rPr>
        <w:t>75</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_Toc17056 </w:instrText>
      </w:r>
      <w:r>
        <w:rPr>
          <w:rFonts w:hint="eastAsia"/>
          <w:color w:val="auto"/>
          <w:highlight w:val="none"/>
        </w:rPr>
        <w:fldChar w:fldCharType="separate"/>
      </w:r>
      <w:r>
        <w:rPr>
          <w:rFonts w:hint="eastAsia"/>
          <w:color w:val="auto"/>
          <w:highlight w:val="none"/>
          <w:lang w:val="en-US" w:eastAsia="zh-CN"/>
        </w:rPr>
        <w:t>第二节 分包工程施工组织设计编制基本要求</w:t>
      </w:r>
      <w:r>
        <w:rPr>
          <w:color w:val="auto"/>
          <w:highlight w:val="none"/>
        </w:rPr>
        <w:tab/>
      </w:r>
      <w:r>
        <w:rPr>
          <w:color w:val="auto"/>
          <w:highlight w:val="none"/>
        </w:rPr>
        <w:fldChar w:fldCharType="begin"/>
      </w:r>
      <w:r>
        <w:rPr>
          <w:color w:val="auto"/>
          <w:highlight w:val="none"/>
        </w:rPr>
        <w:instrText xml:space="preserve"> PAGEREF _Toc17056 \h </w:instrText>
      </w:r>
      <w:r>
        <w:rPr>
          <w:color w:val="auto"/>
          <w:highlight w:val="none"/>
        </w:rPr>
        <w:fldChar w:fldCharType="separate"/>
      </w:r>
      <w:r>
        <w:rPr>
          <w:color w:val="auto"/>
          <w:highlight w:val="none"/>
        </w:rPr>
        <w:t>90</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_Toc18474 </w:instrText>
      </w:r>
      <w:r>
        <w:rPr>
          <w:rFonts w:hint="eastAsia"/>
          <w:color w:val="auto"/>
          <w:highlight w:val="none"/>
        </w:rPr>
        <w:fldChar w:fldCharType="separate"/>
      </w:r>
      <w:r>
        <w:rPr>
          <w:rFonts w:hint="eastAsia"/>
          <w:color w:val="auto"/>
          <w:highlight w:val="none"/>
          <w:lang w:val="en-US" w:eastAsia="zh-CN"/>
        </w:rPr>
        <w:t>第三节 合同结算管理要求</w:t>
      </w:r>
      <w:r>
        <w:rPr>
          <w:color w:val="auto"/>
          <w:highlight w:val="none"/>
        </w:rPr>
        <w:tab/>
      </w:r>
      <w:r>
        <w:rPr>
          <w:color w:val="auto"/>
          <w:highlight w:val="none"/>
        </w:rPr>
        <w:fldChar w:fldCharType="begin"/>
      </w:r>
      <w:r>
        <w:rPr>
          <w:color w:val="auto"/>
          <w:highlight w:val="none"/>
        </w:rPr>
        <w:instrText xml:space="preserve"> PAGEREF _Toc18474 \h </w:instrText>
      </w:r>
      <w:r>
        <w:rPr>
          <w:color w:val="auto"/>
          <w:highlight w:val="none"/>
        </w:rPr>
        <w:fldChar w:fldCharType="separate"/>
      </w:r>
      <w:r>
        <w:rPr>
          <w:color w:val="auto"/>
          <w:highlight w:val="none"/>
        </w:rPr>
        <w:t>95</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_Toc3876 </w:instrText>
      </w:r>
      <w:r>
        <w:rPr>
          <w:rFonts w:hint="eastAsia"/>
          <w:color w:val="auto"/>
          <w:highlight w:val="none"/>
        </w:rPr>
        <w:fldChar w:fldCharType="separate"/>
      </w:r>
      <w:r>
        <w:rPr>
          <w:rFonts w:hint="eastAsia"/>
          <w:color w:val="auto"/>
          <w:highlight w:val="none"/>
          <w:lang w:val="en-US" w:eastAsia="zh-CN"/>
        </w:rPr>
        <w:t>第四节 合同签证管理要求</w:t>
      </w:r>
      <w:r>
        <w:rPr>
          <w:color w:val="auto"/>
          <w:highlight w:val="none"/>
        </w:rPr>
        <w:tab/>
      </w:r>
      <w:r>
        <w:rPr>
          <w:color w:val="auto"/>
          <w:highlight w:val="none"/>
        </w:rPr>
        <w:fldChar w:fldCharType="begin"/>
      </w:r>
      <w:r>
        <w:rPr>
          <w:color w:val="auto"/>
          <w:highlight w:val="none"/>
        </w:rPr>
        <w:instrText xml:space="preserve"> PAGEREF _Toc3876 \h </w:instrText>
      </w:r>
      <w:r>
        <w:rPr>
          <w:color w:val="auto"/>
          <w:highlight w:val="none"/>
        </w:rPr>
        <w:fldChar w:fldCharType="separate"/>
      </w:r>
      <w:r>
        <w:rPr>
          <w:color w:val="auto"/>
          <w:highlight w:val="none"/>
        </w:rPr>
        <w:t>97</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_Toc15007 </w:instrText>
      </w:r>
      <w:r>
        <w:rPr>
          <w:rFonts w:hint="eastAsia"/>
          <w:color w:val="auto"/>
          <w:highlight w:val="none"/>
        </w:rPr>
        <w:fldChar w:fldCharType="separate"/>
      </w:r>
      <w:r>
        <w:rPr>
          <w:rFonts w:hint="eastAsia"/>
          <w:color w:val="auto"/>
          <w:highlight w:val="none"/>
          <w:lang w:val="en-US" w:eastAsia="zh-CN"/>
        </w:rPr>
        <w:t>第五节 合同甲供料管理要求</w:t>
      </w:r>
      <w:r>
        <w:rPr>
          <w:color w:val="auto"/>
          <w:highlight w:val="none"/>
        </w:rPr>
        <w:tab/>
      </w:r>
      <w:r>
        <w:rPr>
          <w:color w:val="auto"/>
          <w:highlight w:val="none"/>
        </w:rPr>
        <w:fldChar w:fldCharType="begin"/>
      </w:r>
      <w:r>
        <w:rPr>
          <w:color w:val="auto"/>
          <w:highlight w:val="none"/>
        </w:rPr>
        <w:instrText xml:space="preserve"> PAGEREF _Toc15007 \h </w:instrText>
      </w:r>
      <w:r>
        <w:rPr>
          <w:color w:val="auto"/>
          <w:highlight w:val="none"/>
        </w:rPr>
        <w:fldChar w:fldCharType="separate"/>
      </w:r>
      <w:r>
        <w:rPr>
          <w:color w:val="auto"/>
          <w:highlight w:val="none"/>
        </w:rPr>
        <w:t>99</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_Toc24936 </w:instrText>
      </w:r>
      <w:r>
        <w:rPr>
          <w:rFonts w:hint="eastAsia"/>
          <w:color w:val="auto"/>
          <w:highlight w:val="none"/>
        </w:rPr>
        <w:fldChar w:fldCharType="separate"/>
      </w:r>
      <w:r>
        <w:rPr>
          <w:rFonts w:hint="eastAsia"/>
          <w:color w:val="auto"/>
          <w:highlight w:val="none"/>
          <w:lang w:val="en-US" w:eastAsia="zh-CN"/>
        </w:rPr>
        <w:t>第六节 财务管理要求</w:t>
      </w:r>
      <w:r>
        <w:rPr>
          <w:color w:val="auto"/>
          <w:highlight w:val="none"/>
        </w:rPr>
        <w:tab/>
      </w:r>
      <w:r>
        <w:rPr>
          <w:color w:val="auto"/>
          <w:highlight w:val="none"/>
        </w:rPr>
        <w:fldChar w:fldCharType="begin"/>
      </w:r>
      <w:r>
        <w:rPr>
          <w:color w:val="auto"/>
          <w:highlight w:val="none"/>
        </w:rPr>
        <w:instrText xml:space="preserve"> PAGEREF _Toc24936 \h </w:instrText>
      </w:r>
      <w:r>
        <w:rPr>
          <w:color w:val="auto"/>
          <w:highlight w:val="none"/>
        </w:rPr>
        <w:fldChar w:fldCharType="separate"/>
      </w:r>
      <w:r>
        <w:rPr>
          <w:color w:val="auto"/>
          <w:highlight w:val="none"/>
        </w:rPr>
        <w:t>101</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_Toc12818 </w:instrText>
      </w:r>
      <w:r>
        <w:rPr>
          <w:rFonts w:hint="eastAsia"/>
          <w:color w:val="auto"/>
          <w:highlight w:val="none"/>
        </w:rPr>
        <w:fldChar w:fldCharType="separate"/>
      </w:r>
      <w:r>
        <w:rPr>
          <w:rFonts w:hint="eastAsia"/>
          <w:color w:val="auto"/>
          <w:highlight w:val="none"/>
          <w:lang w:val="en-US" w:eastAsia="zh-CN"/>
        </w:rPr>
        <w:t>第七节 农民工实名制及工资支付管理要求</w:t>
      </w:r>
      <w:r>
        <w:rPr>
          <w:color w:val="auto"/>
          <w:highlight w:val="none"/>
        </w:rPr>
        <w:tab/>
      </w:r>
      <w:r>
        <w:rPr>
          <w:color w:val="auto"/>
          <w:highlight w:val="none"/>
        </w:rPr>
        <w:fldChar w:fldCharType="begin"/>
      </w:r>
      <w:r>
        <w:rPr>
          <w:color w:val="auto"/>
          <w:highlight w:val="none"/>
        </w:rPr>
        <w:instrText xml:space="preserve"> PAGEREF _Toc12818 \h </w:instrText>
      </w:r>
      <w:r>
        <w:rPr>
          <w:color w:val="auto"/>
          <w:highlight w:val="none"/>
        </w:rPr>
        <w:fldChar w:fldCharType="separate"/>
      </w:r>
      <w:r>
        <w:rPr>
          <w:color w:val="auto"/>
          <w:highlight w:val="none"/>
        </w:rPr>
        <w:t>102</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_Toc28401 </w:instrText>
      </w:r>
      <w:r>
        <w:rPr>
          <w:rFonts w:hint="eastAsia"/>
          <w:color w:val="auto"/>
          <w:highlight w:val="none"/>
        </w:rPr>
        <w:fldChar w:fldCharType="separate"/>
      </w:r>
      <w:r>
        <w:rPr>
          <w:rFonts w:hint="eastAsia"/>
          <w:color w:val="auto"/>
          <w:highlight w:val="none"/>
          <w:lang w:val="en-US" w:eastAsia="zh-CN"/>
        </w:rPr>
        <w:t>第八节 维护项目建设过程良好公众形象的要求</w:t>
      </w:r>
      <w:r>
        <w:rPr>
          <w:color w:val="auto"/>
          <w:highlight w:val="none"/>
        </w:rPr>
        <w:tab/>
      </w:r>
      <w:r>
        <w:rPr>
          <w:color w:val="auto"/>
          <w:highlight w:val="none"/>
        </w:rPr>
        <w:fldChar w:fldCharType="begin"/>
      </w:r>
      <w:r>
        <w:rPr>
          <w:color w:val="auto"/>
          <w:highlight w:val="none"/>
        </w:rPr>
        <w:instrText xml:space="preserve"> PAGEREF _Toc28401 \h </w:instrText>
      </w:r>
      <w:r>
        <w:rPr>
          <w:color w:val="auto"/>
          <w:highlight w:val="none"/>
        </w:rPr>
        <w:fldChar w:fldCharType="separate"/>
      </w:r>
      <w:r>
        <w:rPr>
          <w:color w:val="auto"/>
          <w:highlight w:val="none"/>
        </w:rPr>
        <w:t>105</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_Toc29168 </w:instrText>
      </w:r>
      <w:r>
        <w:rPr>
          <w:rFonts w:hint="eastAsia"/>
          <w:color w:val="auto"/>
          <w:highlight w:val="none"/>
        </w:rPr>
        <w:fldChar w:fldCharType="separate"/>
      </w:r>
      <w:r>
        <w:rPr>
          <w:rFonts w:hint="eastAsia"/>
          <w:color w:val="auto"/>
          <w:highlight w:val="none"/>
          <w:lang w:val="en-US" w:eastAsia="zh-CN"/>
        </w:rPr>
        <w:t>第九节 信访维稳安全保卫管理要求</w:t>
      </w:r>
      <w:r>
        <w:rPr>
          <w:color w:val="auto"/>
          <w:highlight w:val="none"/>
        </w:rPr>
        <w:tab/>
      </w:r>
      <w:r>
        <w:rPr>
          <w:color w:val="auto"/>
          <w:highlight w:val="none"/>
        </w:rPr>
        <w:fldChar w:fldCharType="begin"/>
      </w:r>
      <w:r>
        <w:rPr>
          <w:color w:val="auto"/>
          <w:highlight w:val="none"/>
        </w:rPr>
        <w:instrText xml:space="preserve"> PAGEREF _Toc29168 \h </w:instrText>
      </w:r>
      <w:r>
        <w:rPr>
          <w:color w:val="auto"/>
          <w:highlight w:val="none"/>
        </w:rPr>
        <w:fldChar w:fldCharType="separate"/>
      </w:r>
      <w:r>
        <w:rPr>
          <w:color w:val="auto"/>
          <w:highlight w:val="none"/>
        </w:rPr>
        <w:t>108</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_Toc10637 </w:instrText>
      </w:r>
      <w:r>
        <w:rPr>
          <w:rFonts w:hint="eastAsia"/>
          <w:color w:val="auto"/>
          <w:highlight w:val="none"/>
        </w:rPr>
        <w:fldChar w:fldCharType="separate"/>
      </w:r>
      <w:r>
        <w:rPr>
          <w:rFonts w:hint="eastAsia"/>
          <w:color w:val="auto"/>
          <w:highlight w:val="none"/>
          <w:lang w:val="en-US" w:eastAsia="zh-CN"/>
        </w:rPr>
        <w:t>第十节 依法经营廉洁合作的要求</w:t>
      </w:r>
      <w:r>
        <w:rPr>
          <w:color w:val="auto"/>
          <w:highlight w:val="none"/>
        </w:rPr>
        <w:tab/>
      </w:r>
      <w:r>
        <w:rPr>
          <w:color w:val="auto"/>
          <w:highlight w:val="none"/>
        </w:rPr>
        <w:fldChar w:fldCharType="begin"/>
      </w:r>
      <w:r>
        <w:rPr>
          <w:color w:val="auto"/>
          <w:highlight w:val="none"/>
        </w:rPr>
        <w:instrText xml:space="preserve"> PAGEREF _Toc10637 \h </w:instrText>
      </w:r>
      <w:r>
        <w:rPr>
          <w:color w:val="auto"/>
          <w:highlight w:val="none"/>
        </w:rPr>
        <w:fldChar w:fldCharType="separate"/>
      </w:r>
      <w:r>
        <w:rPr>
          <w:color w:val="auto"/>
          <w:highlight w:val="none"/>
        </w:rPr>
        <w:t>110</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_Toc14488 </w:instrText>
      </w:r>
      <w:r>
        <w:rPr>
          <w:rFonts w:hint="eastAsia"/>
          <w:color w:val="auto"/>
          <w:highlight w:val="none"/>
        </w:rPr>
        <w:fldChar w:fldCharType="separate"/>
      </w:r>
      <w:r>
        <w:rPr>
          <w:rFonts w:hint="eastAsia"/>
          <w:color w:val="auto"/>
          <w:highlight w:val="none"/>
          <w:lang w:val="en-US" w:eastAsia="zh-CN"/>
        </w:rPr>
        <w:t>第十一节 分包工程作业人员要求</w:t>
      </w:r>
      <w:r>
        <w:rPr>
          <w:color w:val="auto"/>
          <w:highlight w:val="none"/>
        </w:rPr>
        <w:tab/>
      </w:r>
      <w:r>
        <w:rPr>
          <w:color w:val="auto"/>
          <w:highlight w:val="none"/>
        </w:rPr>
        <w:fldChar w:fldCharType="begin"/>
      </w:r>
      <w:r>
        <w:rPr>
          <w:color w:val="auto"/>
          <w:highlight w:val="none"/>
        </w:rPr>
        <w:instrText xml:space="preserve"> PAGEREF _Toc14488 \h </w:instrText>
      </w:r>
      <w:r>
        <w:rPr>
          <w:color w:val="auto"/>
          <w:highlight w:val="none"/>
        </w:rPr>
        <w:fldChar w:fldCharType="separate"/>
      </w:r>
      <w:r>
        <w:rPr>
          <w:color w:val="auto"/>
          <w:highlight w:val="none"/>
        </w:rPr>
        <w:t>111</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_Toc17090 </w:instrText>
      </w:r>
      <w:r>
        <w:rPr>
          <w:rFonts w:hint="eastAsia"/>
          <w:color w:val="auto"/>
          <w:highlight w:val="none"/>
        </w:rPr>
        <w:fldChar w:fldCharType="separate"/>
      </w:r>
      <w:r>
        <w:rPr>
          <w:rFonts w:hint="eastAsia"/>
          <w:color w:val="auto"/>
          <w:highlight w:val="none"/>
          <w:lang w:val="en-US" w:eastAsia="zh-CN"/>
        </w:rPr>
        <w:t>第十二章 相关管理用表</w:t>
      </w:r>
      <w:r>
        <w:rPr>
          <w:color w:val="auto"/>
          <w:highlight w:val="none"/>
        </w:rPr>
        <w:tab/>
      </w:r>
      <w:r>
        <w:rPr>
          <w:color w:val="auto"/>
          <w:highlight w:val="none"/>
        </w:rPr>
        <w:fldChar w:fldCharType="begin"/>
      </w:r>
      <w:r>
        <w:rPr>
          <w:color w:val="auto"/>
          <w:highlight w:val="none"/>
        </w:rPr>
        <w:instrText xml:space="preserve"> PAGEREF _Toc17090 \h </w:instrText>
      </w:r>
      <w:r>
        <w:rPr>
          <w:color w:val="auto"/>
          <w:highlight w:val="none"/>
        </w:rPr>
        <w:fldChar w:fldCharType="separate"/>
      </w:r>
      <w:r>
        <w:rPr>
          <w:color w:val="auto"/>
          <w:highlight w:val="none"/>
        </w:rPr>
        <w:t>113</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_Toc13203 </w:instrText>
      </w:r>
      <w:r>
        <w:rPr>
          <w:rFonts w:hint="eastAsia"/>
          <w:color w:val="auto"/>
          <w:highlight w:val="none"/>
        </w:rPr>
        <w:fldChar w:fldCharType="separate"/>
      </w:r>
      <w:r>
        <w:rPr>
          <w:rFonts w:hint="eastAsia"/>
          <w:color w:val="auto"/>
          <w:highlight w:val="none"/>
          <w:lang w:val="en-US" w:eastAsia="zh-CN"/>
        </w:rPr>
        <w:t>第二章 特定要求</w:t>
      </w:r>
      <w:r>
        <w:rPr>
          <w:color w:val="auto"/>
          <w:highlight w:val="none"/>
        </w:rPr>
        <w:tab/>
      </w:r>
      <w:r>
        <w:rPr>
          <w:color w:val="auto"/>
          <w:highlight w:val="none"/>
        </w:rPr>
        <w:fldChar w:fldCharType="begin"/>
      </w:r>
      <w:r>
        <w:rPr>
          <w:color w:val="auto"/>
          <w:highlight w:val="none"/>
        </w:rPr>
        <w:instrText xml:space="preserve"> PAGEREF _Toc13203 \h </w:instrText>
      </w:r>
      <w:r>
        <w:rPr>
          <w:color w:val="auto"/>
          <w:highlight w:val="none"/>
        </w:rPr>
        <w:fldChar w:fldCharType="separate"/>
      </w:r>
      <w:r>
        <w:rPr>
          <w:color w:val="auto"/>
          <w:highlight w:val="none"/>
        </w:rPr>
        <w:t>126</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_Toc21415 </w:instrText>
      </w:r>
      <w:r>
        <w:rPr>
          <w:rFonts w:hint="eastAsia"/>
          <w:color w:val="auto"/>
          <w:highlight w:val="none"/>
        </w:rPr>
        <w:fldChar w:fldCharType="separate"/>
      </w:r>
      <w:r>
        <w:rPr>
          <w:rFonts w:hint="eastAsia"/>
          <w:color w:val="auto"/>
          <w:highlight w:val="none"/>
          <w:lang w:val="en-US" w:eastAsia="zh-CN"/>
        </w:rPr>
        <w:t>第一节 安全管理相关要求</w:t>
      </w:r>
      <w:r>
        <w:rPr>
          <w:color w:val="auto"/>
          <w:highlight w:val="none"/>
        </w:rPr>
        <w:tab/>
      </w:r>
      <w:r>
        <w:rPr>
          <w:color w:val="auto"/>
          <w:highlight w:val="none"/>
        </w:rPr>
        <w:fldChar w:fldCharType="begin"/>
      </w:r>
      <w:r>
        <w:rPr>
          <w:color w:val="auto"/>
          <w:highlight w:val="none"/>
        </w:rPr>
        <w:instrText xml:space="preserve"> PAGEREF _Toc21415 \h </w:instrText>
      </w:r>
      <w:r>
        <w:rPr>
          <w:color w:val="auto"/>
          <w:highlight w:val="none"/>
        </w:rPr>
        <w:fldChar w:fldCharType="separate"/>
      </w:r>
      <w:r>
        <w:rPr>
          <w:color w:val="auto"/>
          <w:highlight w:val="none"/>
        </w:rPr>
        <w:t>126</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_Toc31363 </w:instrText>
      </w:r>
      <w:r>
        <w:rPr>
          <w:rFonts w:hint="eastAsia"/>
          <w:color w:val="auto"/>
          <w:highlight w:val="none"/>
        </w:rPr>
        <w:fldChar w:fldCharType="separate"/>
      </w:r>
      <w:r>
        <w:rPr>
          <w:rFonts w:hint="eastAsia"/>
          <w:color w:val="auto"/>
          <w:highlight w:val="none"/>
          <w:lang w:val="en-US" w:eastAsia="zh-CN"/>
        </w:rPr>
        <w:t>1.安全生产风险管理要求</w:t>
      </w:r>
      <w:r>
        <w:rPr>
          <w:color w:val="auto"/>
          <w:highlight w:val="none"/>
        </w:rPr>
        <w:tab/>
      </w:r>
      <w:r>
        <w:rPr>
          <w:color w:val="auto"/>
          <w:highlight w:val="none"/>
        </w:rPr>
        <w:fldChar w:fldCharType="begin"/>
      </w:r>
      <w:r>
        <w:rPr>
          <w:color w:val="auto"/>
          <w:highlight w:val="none"/>
        </w:rPr>
        <w:instrText xml:space="preserve"> PAGEREF _Toc31363 \h </w:instrText>
      </w:r>
      <w:r>
        <w:rPr>
          <w:color w:val="auto"/>
          <w:highlight w:val="none"/>
        </w:rPr>
        <w:fldChar w:fldCharType="separate"/>
      </w:r>
      <w:r>
        <w:rPr>
          <w:color w:val="auto"/>
          <w:highlight w:val="none"/>
        </w:rPr>
        <w:t>126</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_Toc5270 </w:instrText>
      </w:r>
      <w:r>
        <w:rPr>
          <w:rFonts w:hint="eastAsia"/>
          <w:color w:val="auto"/>
          <w:highlight w:val="none"/>
        </w:rPr>
        <w:fldChar w:fldCharType="separate"/>
      </w:r>
      <w:r>
        <w:rPr>
          <w:rFonts w:hint="eastAsia"/>
          <w:color w:val="auto"/>
          <w:highlight w:val="none"/>
          <w:lang w:val="en-US" w:eastAsia="zh-CN"/>
        </w:rPr>
        <w:t>2.生产作业区域消防及森林防火安全管理要求</w:t>
      </w:r>
      <w:r>
        <w:rPr>
          <w:color w:val="auto"/>
          <w:highlight w:val="none"/>
        </w:rPr>
        <w:tab/>
      </w:r>
      <w:r>
        <w:rPr>
          <w:color w:val="auto"/>
          <w:highlight w:val="none"/>
        </w:rPr>
        <w:fldChar w:fldCharType="begin"/>
      </w:r>
      <w:r>
        <w:rPr>
          <w:color w:val="auto"/>
          <w:highlight w:val="none"/>
        </w:rPr>
        <w:instrText xml:space="preserve"> PAGEREF _Toc5270 \h </w:instrText>
      </w:r>
      <w:r>
        <w:rPr>
          <w:color w:val="auto"/>
          <w:highlight w:val="none"/>
        </w:rPr>
        <w:fldChar w:fldCharType="separate"/>
      </w:r>
      <w:r>
        <w:rPr>
          <w:color w:val="auto"/>
          <w:highlight w:val="none"/>
        </w:rPr>
        <w:t>126</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_Toc28311 </w:instrText>
      </w:r>
      <w:r>
        <w:rPr>
          <w:rFonts w:hint="eastAsia"/>
          <w:color w:val="auto"/>
          <w:highlight w:val="none"/>
        </w:rPr>
        <w:fldChar w:fldCharType="separate"/>
      </w:r>
      <w:r>
        <w:rPr>
          <w:rFonts w:hint="eastAsia"/>
          <w:color w:val="auto"/>
          <w:highlight w:val="none"/>
          <w:lang w:val="en-US" w:eastAsia="zh-CN"/>
        </w:rPr>
        <w:t>3.特殊天气施工安全管理要求</w:t>
      </w:r>
      <w:r>
        <w:rPr>
          <w:color w:val="auto"/>
          <w:highlight w:val="none"/>
        </w:rPr>
        <w:tab/>
      </w:r>
      <w:r>
        <w:rPr>
          <w:color w:val="auto"/>
          <w:highlight w:val="none"/>
        </w:rPr>
        <w:fldChar w:fldCharType="begin"/>
      </w:r>
      <w:r>
        <w:rPr>
          <w:color w:val="auto"/>
          <w:highlight w:val="none"/>
        </w:rPr>
        <w:instrText xml:space="preserve"> PAGEREF _Toc28311 \h </w:instrText>
      </w:r>
      <w:r>
        <w:rPr>
          <w:color w:val="auto"/>
          <w:highlight w:val="none"/>
        </w:rPr>
        <w:fldChar w:fldCharType="separate"/>
      </w:r>
      <w:r>
        <w:rPr>
          <w:color w:val="auto"/>
          <w:highlight w:val="none"/>
        </w:rPr>
        <w:t>126</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_Toc11095 </w:instrText>
      </w:r>
      <w:r>
        <w:rPr>
          <w:rFonts w:hint="eastAsia"/>
          <w:color w:val="auto"/>
          <w:highlight w:val="none"/>
        </w:rPr>
        <w:fldChar w:fldCharType="separate"/>
      </w:r>
      <w:r>
        <w:rPr>
          <w:rFonts w:hint="eastAsia"/>
          <w:color w:val="auto"/>
          <w:highlight w:val="none"/>
          <w:lang w:val="en-US" w:eastAsia="zh-CN"/>
        </w:rPr>
        <w:t>4.职业健康管理工作要求</w:t>
      </w:r>
      <w:r>
        <w:rPr>
          <w:color w:val="auto"/>
          <w:highlight w:val="none"/>
        </w:rPr>
        <w:tab/>
      </w:r>
      <w:r>
        <w:rPr>
          <w:color w:val="auto"/>
          <w:highlight w:val="none"/>
        </w:rPr>
        <w:fldChar w:fldCharType="begin"/>
      </w:r>
      <w:r>
        <w:rPr>
          <w:color w:val="auto"/>
          <w:highlight w:val="none"/>
        </w:rPr>
        <w:instrText xml:space="preserve"> PAGEREF _Toc11095 \h </w:instrText>
      </w:r>
      <w:r>
        <w:rPr>
          <w:color w:val="auto"/>
          <w:highlight w:val="none"/>
        </w:rPr>
        <w:fldChar w:fldCharType="separate"/>
      </w:r>
      <w:r>
        <w:rPr>
          <w:color w:val="auto"/>
          <w:highlight w:val="none"/>
        </w:rPr>
        <w:t>126</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_Toc2690 </w:instrText>
      </w:r>
      <w:r>
        <w:rPr>
          <w:rFonts w:hint="eastAsia"/>
          <w:color w:val="auto"/>
          <w:highlight w:val="none"/>
        </w:rPr>
        <w:fldChar w:fldCharType="separate"/>
      </w:r>
      <w:r>
        <w:rPr>
          <w:rFonts w:hint="eastAsia"/>
          <w:color w:val="auto"/>
          <w:highlight w:val="none"/>
          <w:lang w:val="en-US" w:eastAsia="zh-CN"/>
        </w:rPr>
        <w:t>1.</w:t>
      </w:r>
      <w:r>
        <w:rPr>
          <w:rFonts w:hint="eastAsia"/>
          <w:color w:val="auto"/>
          <w:highlight w:val="none"/>
        </w:rPr>
        <w:t>合同结算管理要求附表</w:t>
      </w:r>
      <w:r>
        <w:rPr>
          <w:color w:val="auto"/>
          <w:highlight w:val="none"/>
        </w:rPr>
        <w:tab/>
      </w:r>
      <w:r>
        <w:rPr>
          <w:color w:val="auto"/>
          <w:highlight w:val="none"/>
        </w:rPr>
        <w:fldChar w:fldCharType="begin"/>
      </w:r>
      <w:r>
        <w:rPr>
          <w:color w:val="auto"/>
          <w:highlight w:val="none"/>
        </w:rPr>
        <w:instrText xml:space="preserve"> PAGEREF _Toc2690 \h </w:instrText>
      </w:r>
      <w:r>
        <w:rPr>
          <w:color w:val="auto"/>
          <w:highlight w:val="none"/>
        </w:rPr>
        <w:fldChar w:fldCharType="separate"/>
      </w:r>
      <w:r>
        <w:rPr>
          <w:color w:val="auto"/>
          <w:highlight w:val="none"/>
        </w:rPr>
        <w:t>127</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_Toc2992 </w:instrText>
      </w:r>
      <w:r>
        <w:rPr>
          <w:rFonts w:hint="eastAsia"/>
          <w:color w:val="auto"/>
          <w:highlight w:val="none"/>
        </w:rPr>
        <w:fldChar w:fldCharType="separate"/>
      </w:r>
      <w:r>
        <w:rPr>
          <w:rFonts w:hint="eastAsia"/>
          <w:color w:val="auto"/>
          <w:highlight w:val="none"/>
          <w:lang w:val="en-US" w:eastAsia="zh-CN"/>
        </w:rPr>
        <w:t>2.合同签证管理要求附表</w:t>
      </w:r>
      <w:r>
        <w:rPr>
          <w:color w:val="auto"/>
          <w:highlight w:val="none"/>
        </w:rPr>
        <w:tab/>
      </w:r>
      <w:r>
        <w:rPr>
          <w:color w:val="auto"/>
          <w:highlight w:val="none"/>
        </w:rPr>
        <w:fldChar w:fldCharType="begin"/>
      </w:r>
      <w:r>
        <w:rPr>
          <w:color w:val="auto"/>
          <w:highlight w:val="none"/>
        </w:rPr>
        <w:instrText xml:space="preserve"> PAGEREF _Toc2992 \h </w:instrText>
      </w:r>
      <w:r>
        <w:rPr>
          <w:color w:val="auto"/>
          <w:highlight w:val="none"/>
        </w:rPr>
        <w:fldChar w:fldCharType="separate"/>
      </w:r>
      <w:r>
        <w:rPr>
          <w:color w:val="auto"/>
          <w:highlight w:val="none"/>
        </w:rPr>
        <w:t>128</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_Toc20296 </w:instrText>
      </w:r>
      <w:r>
        <w:rPr>
          <w:rFonts w:hint="eastAsia"/>
          <w:color w:val="auto"/>
          <w:highlight w:val="none"/>
        </w:rPr>
        <w:fldChar w:fldCharType="separate"/>
      </w:r>
      <w:r>
        <w:rPr>
          <w:rFonts w:hint="eastAsia"/>
          <w:color w:val="auto"/>
          <w:highlight w:val="none"/>
          <w:lang w:val="en-US" w:eastAsia="zh-CN"/>
        </w:rPr>
        <w:t>3.合同甲供料管理要求附表</w:t>
      </w:r>
      <w:r>
        <w:rPr>
          <w:color w:val="auto"/>
          <w:highlight w:val="none"/>
        </w:rPr>
        <w:tab/>
      </w:r>
      <w:r>
        <w:rPr>
          <w:color w:val="auto"/>
          <w:highlight w:val="none"/>
        </w:rPr>
        <w:fldChar w:fldCharType="begin"/>
      </w:r>
      <w:r>
        <w:rPr>
          <w:color w:val="auto"/>
          <w:highlight w:val="none"/>
        </w:rPr>
        <w:instrText xml:space="preserve"> PAGEREF _Toc20296 \h </w:instrText>
      </w:r>
      <w:r>
        <w:rPr>
          <w:color w:val="auto"/>
          <w:highlight w:val="none"/>
        </w:rPr>
        <w:fldChar w:fldCharType="separate"/>
      </w:r>
      <w:r>
        <w:rPr>
          <w:color w:val="auto"/>
          <w:highlight w:val="none"/>
        </w:rPr>
        <w:t>128</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_Toc1416 </w:instrText>
      </w:r>
      <w:r>
        <w:rPr>
          <w:rFonts w:hint="eastAsia"/>
          <w:color w:val="auto"/>
          <w:highlight w:val="none"/>
        </w:rPr>
        <w:fldChar w:fldCharType="separate"/>
      </w:r>
      <w:r>
        <w:rPr>
          <w:rFonts w:hint="eastAsia"/>
          <w:color w:val="auto"/>
          <w:highlight w:val="none"/>
        </w:rPr>
        <w:t>第三</w:t>
      </w:r>
      <w:r>
        <w:rPr>
          <w:rFonts w:hint="eastAsia"/>
          <w:color w:val="auto"/>
          <w:highlight w:val="none"/>
          <w:lang w:val="en-US" w:eastAsia="zh-CN"/>
        </w:rPr>
        <w:t>篇</w:t>
      </w:r>
      <w:r>
        <w:rPr>
          <w:rFonts w:hint="eastAsia"/>
          <w:color w:val="auto"/>
          <w:highlight w:val="none"/>
        </w:rPr>
        <w:t xml:space="preserve">  建设工程施工专业分包合同</w:t>
      </w:r>
      <w:r>
        <w:rPr>
          <w:rFonts w:hint="eastAsia"/>
          <w:color w:val="auto"/>
          <w:highlight w:val="none"/>
          <w:lang w:val="en-US" w:eastAsia="zh-CN"/>
        </w:rPr>
        <w:t>范本</w:t>
      </w:r>
      <w:r>
        <w:rPr>
          <w:color w:val="auto"/>
          <w:highlight w:val="none"/>
        </w:rPr>
        <w:tab/>
      </w:r>
      <w:r>
        <w:rPr>
          <w:color w:val="auto"/>
          <w:highlight w:val="none"/>
        </w:rPr>
        <w:fldChar w:fldCharType="begin"/>
      </w:r>
      <w:r>
        <w:rPr>
          <w:color w:val="auto"/>
          <w:highlight w:val="none"/>
        </w:rPr>
        <w:instrText xml:space="preserve"> PAGEREF _Toc1416 \h </w:instrText>
      </w:r>
      <w:r>
        <w:rPr>
          <w:color w:val="auto"/>
          <w:highlight w:val="none"/>
        </w:rPr>
        <w:fldChar w:fldCharType="separate"/>
      </w:r>
      <w:r>
        <w:rPr>
          <w:color w:val="auto"/>
          <w:highlight w:val="none"/>
        </w:rPr>
        <w:t>129</w:t>
      </w:r>
      <w:r>
        <w:rPr>
          <w:color w:val="auto"/>
          <w:highlight w:val="none"/>
        </w:rPr>
        <w:fldChar w:fldCharType="end"/>
      </w:r>
      <w:r>
        <w:rPr>
          <w:rFonts w:hint="eastAsia"/>
          <w:color w:val="auto"/>
          <w:highlight w:val="none"/>
        </w:rPr>
        <w:fldChar w:fldCharType="end"/>
      </w:r>
    </w:p>
    <w:p>
      <w:pPr>
        <w:pStyle w:val="13"/>
        <w:bidi w:val="0"/>
        <w:rPr>
          <w:rFonts w:hint="eastAsia" w:ascii="宋体" w:hAnsi="宋体" w:eastAsia="宋体" w:cs="宋体"/>
          <w:b w:val="0"/>
          <w:bCs w:val="0"/>
          <w:color w:val="auto"/>
          <w:szCs w:val="24"/>
          <w:highlight w:val="none"/>
        </w:rPr>
      </w:pPr>
      <w:r>
        <w:rPr>
          <w:rFonts w:hint="eastAsia"/>
          <w:color w:val="auto"/>
          <w:highlight w:val="none"/>
        </w:rPr>
        <w:fldChar w:fldCharType="end"/>
      </w:r>
    </w:p>
    <w:p>
      <w:pPr>
        <w:bidi w:val="0"/>
        <w:jc w:val="center"/>
        <w:rPr>
          <w:rFonts w:hint="eastAsia" w:ascii="宋体" w:hAnsi="宋体" w:eastAsia="宋体" w:cs="宋体"/>
          <w:b w:val="0"/>
          <w:bCs w:val="0"/>
          <w:color w:val="auto"/>
          <w:szCs w:val="24"/>
          <w:highlight w:val="none"/>
        </w:rPr>
      </w:pPr>
    </w:p>
    <w:p>
      <w:pPr>
        <w:bidi w:val="0"/>
        <w:jc w:val="center"/>
        <w:rPr>
          <w:rFonts w:hint="eastAsia" w:ascii="宋体" w:hAnsi="宋体" w:eastAsia="宋体" w:cs="宋体"/>
          <w:b w:val="0"/>
          <w:bCs w:val="0"/>
          <w:color w:val="auto"/>
          <w:szCs w:val="24"/>
          <w:highlight w:val="none"/>
        </w:rPr>
      </w:pPr>
    </w:p>
    <w:p>
      <w:pPr>
        <w:bidi w:val="0"/>
        <w:jc w:val="center"/>
        <w:rPr>
          <w:rFonts w:hint="eastAsia" w:ascii="宋体" w:hAnsi="宋体" w:eastAsia="宋体" w:cs="宋体"/>
          <w:b w:val="0"/>
          <w:bCs w:val="0"/>
          <w:color w:val="auto"/>
          <w:szCs w:val="24"/>
          <w:highlight w:val="none"/>
        </w:rPr>
      </w:pPr>
    </w:p>
    <w:p>
      <w:pPr>
        <w:bidi w:val="0"/>
        <w:jc w:val="center"/>
        <w:rPr>
          <w:rFonts w:hint="eastAsia" w:ascii="宋体" w:hAnsi="宋体" w:eastAsia="宋体" w:cs="宋体"/>
          <w:b w:val="0"/>
          <w:bCs w:val="0"/>
          <w:color w:val="auto"/>
          <w:szCs w:val="24"/>
          <w:highlight w:val="none"/>
        </w:rPr>
      </w:pPr>
    </w:p>
    <w:p>
      <w:pPr>
        <w:bidi w:val="0"/>
        <w:jc w:val="center"/>
        <w:rPr>
          <w:rFonts w:hint="eastAsia" w:ascii="宋体" w:hAnsi="宋体" w:eastAsia="宋体" w:cs="宋体"/>
          <w:b w:val="0"/>
          <w:bCs w:val="0"/>
          <w:color w:val="auto"/>
          <w:szCs w:val="24"/>
          <w:highlight w:val="none"/>
        </w:rPr>
      </w:pPr>
    </w:p>
    <w:p>
      <w:pPr>
        <w:bidi w:val="0"/>
        <w:jc w:val="center"/>
        <w:rPr>
          <w:rFonts w:hint="eastAsia" w:ascii="宋体" w:hAnsi="宋体" w:eastAsia="宋体" w:cs="宋体"/>
          <w:b w:val="0"/>
          <w:bCs w:val="0"/>
          <w:color w:val="auto"/>
          <w:szCs w:val="24"/>
          <w:highlight w:val="none"/>
        </w:rPr>
      </w:pPr>
    </w:p>
    <w:p>
      <w:pPr>
        <w:bidi w:val="0"/>
        <w:jc w:val="center"/>
        <w:rPr>
          <w:rFonts w:hint="eastAsia" w:ascii="宋体" w:hAnsi="宋体" w:eastAsia="宋体" w:cs="宋体"/>
          <w:b w:val="0"/>
          <w:bCs w:val="0"/>
          <w:color w:val="auto"/>
          <w:szCs w:val="24"/>
          <w:highlight w:val="none"/>
        </w:rPr>
      </w:pPr>
    </w:p>
    <w:p>
      <w:pPr>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br w:type="page"/>
      </w:r>
    </w:p>
    <w:p>
      <w:pPr>
        <w:pStyle w:val="2"/>
        <w:rPr>
          <w:rFonts w:hint="eastAsia"/>
          <w:color w:val="auto"/>
          <w:highlight w:val="none"/>
        </w:rPr>
      </w:pPr>
    </w:p>
    <w:p>
      <w:pPr>
        <w:bidi w:val="0"/>
        <w:jc w:val="center"/>
        <w:rPr>
          <w:rFonts w:hint="eastAsia" w:ascii="宋体" w:hAnsi="宋体" w:eastAsia="宋体" w:cs="宋体"/>
          <w:b w:val="0"/>
          <w:bCs w:val="0"/>
          <w:color w:val="auto"/>
          <w:szCs w:val="24"/>
          <w:highlight w:val="none"/>
        </w:rPr>
      </w:pPr>
    </w:p>
    <w:p>
      <w:pPr>
        <w:bidi w:val="0"/>
        <w:jc w:val="center"/>
        <w:rPr>
          <w:rFonts w:hint="eastAsia" w:ascii="宋体" w:hAnsi="宋体" w:eastAsia="宋体" w:cs="宋体"/>
          <w:b w:val="0"/>
          <w:bCs w:val="0"/>
          <w:color w:val="auto"/>
          <w:szCs w:val="24"/>
          <w:highlight w:val="none"/>
        </w:rPr>
      </w:pPr>
    </w:p>
    <w:p>
      <w:pPr>
        <w:bidi w:val="0"/>
        <w:jc w:val="center"/>
        <w:rPr>
          <w:rFonts w:hint="eastAsia" w:ascii="宋体" w:hAnsi="宋体" w:eastAsia="宋体" w:cs="宋体"/>
          <w:b w:val="0"/>
          <w:bCs w:val="0"/>
          <w:color w:val="auto"/>
          <w:szCs w:val="24"/>
          <w:highlight w:val="none"/>
        </w:rPr>
      </w:pPr>
    </w:p>
    <w:p>
      <w:pPr>
        <w:bidi w:val="0"/>
        <w:jc w:val="center"/>
        <w:rPr>
          <w:rFonts w:hint="eastAsia" w:ascii="宋体" w:hAnsi="宋体" w:eastAsia="宋体" w:cs="宋体"/>
          <w:b w:val="0"/>
          <w:bCs w:val="0"/>
          <w:color w:val="auto"/>
          <w:szCs w:val="24"/>
          <w:highlight w:val="none"/>
        </w:rPr>
      </w:pPr>
    </w:p>
    <w:p>
      <w:pPr>
        <w:bidi w:val="0"/>
        <w:jc w:val="center"/>
        <w:rPr>
          <w:rFonts w:hint="eastAsia" w:ascii="宋体" w:hAnsi="宋体" w:eastAsia="宋体" w:cs="宋体"/>
          <w:b w:val="0"/>
          <w:bCs w:val="0"/>
          <w:color w:val="auto"/>
          <w:szCs w:val="24"/>
          <w:highlight w:val="none"/>
        </w:rPr>
      </w:pPr>
    </w:p>
    <w:p>
      <w:pPr>
        <w:bidi w:val="0"/>
        <w:jc w:val="center"/>
        <w:outlineLvl w:val="0"/>
        <w:rPr>
          <w:rFonts w:hint="eastAsia" w:ascii="宋体" w:hAnsi="宋体" w:eastAsia="宋体" w:cs="宋体"/>
          <w:b/>
          <w:bCs/>
          <w:color w:val="auto"/>
          <w:sz w:val="32"/>
          <w:szCs w:val="32"/>
          <w:highlight w:val="none"/>
        </w:rPr>
        <w:sectPr>
          <w:footerReference r:id="rId5" w:type="default"/>
          <w:pgSz w:w="11905" w:h="16838"/>
          <w:pgMar w:top="1440" w:right="1797" w:bottom="1440" w:left="1177" w:header="851" w:footer="992" w:gutter="567"/>
          <w:pgBorders>
            <w:top w:val="none" w:sz="0" w:space="0"/>
            <w:left w:val="none" w:sz="0" w:space="0"/>
            <w:bottom w:val="none" w:sz="0" w:space="0"/>
            <w:right w:val="none" w:sz="0" w:space="0"/>
          </w:pgBorders>
          <w:pgNumType w:fmt="decimal" w:start="1"/>
          <w:cols w:space="720" w:num="1"/>
          <w:rtlGutter w:val="0"/>
          <w:docGrid w:type="lines" w:linePitch="317" w:charSpace="0"/>
        </w:sectPr>
      </w:pPr>
      <w:bookmarkStart w:id="1" w:name="_Toc29780"/>
      <w:r>
        <w:rPr>
          <w:rFonts w:hint="eastAsia" w:ascii="宋体" w:hAnsi="宋体" w:eastAsia="宋体" w:cs="宋体"/>
          <w:b/>
          <w:bCs/>
          <w:color w:val="auto"/>
          <w:sz w:val="32"/>
          <w:szCs w:val="32"/>
          <w:highlight w:val="none"/>
        </w:rPr>
        <w:t>第一</w:t>
      </w:r>
      <w:r>
        <w:rPr>
          <w:rFonts w:hint="eastAsia" w:ascii="宋体" w:hAnsi="宋体" w:eastAsia="宋体" w:cs="宋体"/>
          <w:b/>
          <w:bCs/>
          <w:color w:val="auto"/>
          <w:sz w:val="32"/>
          <w:szCs w:val="32"/>
          <w:highlight w:val="none"/>
          <w:lang w:val="en-US" w:eastAsia="zh-CN"/>
        </w:rPr>
        <w:t>篇</w:t>
      </w:r>
      <w:r>
        <w:rPr>
          <w:rFonts w:hint="eastAsia" w:ascii="宋体" w:hAnsi="宋体" w:eastAsia="宋体" w:cs="宋体"/>
          <w:b/>
          <w:bCs/>
          <w:color w:val="auto"/>
          <w:sz w:val="32"/>
          <w:szCs w:val="32"/>
          <w:highlight w:val="none"/>
        </w:rPr>
        <w:t xml:space="preserve">  招标文件正文</w:t>
      </w:r>
      <w:bookmarkEnd w:id="1"/>
    </w:p>
    <w:bookmarkEnd w:id="0"/>
    <w:p>
      <w:pPr>
        <w:pStyle w:val="4"/>
        <w:spacing w:before="240" w:after="0" w:line="480" w:lineRule="auto"/>
        <w:ind w:left="-540" w:leftChars="-257" w:right="-504" w:rightChars="-240" w:firstLine="539" w:firstLineChars="122"/>
        <w:jc w:val="center"/>
        <w:rPr>
          <w:rFonts w:hint="eastAsia" w:ascii="宋体" w:hAnsi="宋体" w:eastAsia="方正小标宋简体"/>
          <w:b/>
          <w:bCs w:val="0"/>
          <w:color w:val="auto"/>
          <w:highlight w:val="none"/>
          <w:lang w:val="en-US" w:eastAsia="zh-CN"/>
        </w:rPr>
      </w:pPr>
      <w:bookmarkStart w:id="2" w:name="_Toc9066"/>
      <w:bookmarkStart w:id="3" w:name="_Toc17925"/>
      <w:bookmarkStart w:id="4" w:name="_Toc11884"/>
      <w:bookmarkStart w:id="5" w:name="_Toc16586"/>
      <w:bookmarkStart w:id="6" w:name="_Toc30614"/>
      <w:bookmarkStart w:id="7" w:name="_Toc1312"/>
      <w:bookmarkStart w:id="8" w:name="_Toc24086"/>
      <w:bookmarkStart w:id="9" w:name="_Toc23163"/>
      <w:bookmarkStart w:id="10" w:name="_Toc17112"/>
      <w:bookmarkStart w:id="11" w:name="_Toc30692"/>
      <w:bookmarkStart w:id="12" w:name="_Toc29759"/>
      <w:bookmarkStart w:id="13" w:name="_Toc19235"/>
      <w:bookmarkStart w:id="14" w:name="_Toc10892"/>
      <w:bookmarkStart w:id="15" w:name="_Toc26212"/>
      <w:bookmarkStart w:id="16" w:name="_Toc20770"/>
      <w:r>
        <w:rPr>
          <w:rFonts w:hint="eastAsia" w:ascii="宋体" w:hAnsi="宋体"/>
          <w:b/>
          <w:bCs w:val="0"/>
          <w:color w:val="auto"/>
          <w:highlight w:val="none"/>
        </w:rPr>
        <w:t xml:space="preserve">第一章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hint="eastAsia" w:ascii="宋体" w:hAnsi="宋体"/>
          <w:b/>
          <w:bCs w:val="0"/>
          <w:color w:val="auto"/>
          <w:highlight w:val="none"/>
          <w:lang w:val="en-US" w:eastAsia="zh-CN"/>
        </w:rPr>
        <w:t>招标公告</w:t>
      </w:r>
    </w:p>
    <w:p>
      <w:pPr>
        <w:keepNext w:val="0"/>
        <w:keepLines w:val="0"/>
        <w:pageBreakBefore w:val="0"/>
        <w:widowControl w:val="0"/>
        <w:numPr>
          <w:ilvl w:val="0"/>
          <w:numId w:val="1"/>
        </w:numPr>
        <w:kinsoku/>
        <w:wordWrap/>
        <w:overflowPunct/>
        <w:topLinePunct w:val="0"/>
        <w:autoSpaceDE/>
        <w:autoSpaceDN/>
        <w:bidi w:val="0"/>
        <w:adjustRightInd/>
        <w:snapToGrid w:val="0"/>
        <w:spacing w:line="480" w:lineRule="exact"/>
        <w:ind w:firstLine="420" w:firstLineChars="200"/>
        <w:jc w:val="left"/>
        <w:textAlignment w:val="baseline"/>
        <w:rPr>
          <w:rFonts w:hint="eastAsia" w:ascii="宋体" w:hAnsi="宋体"/>
          <w:color w:val="auto"/>
          <w:szCs w:val="22"/>
          <w:highlight w:val="none"/>
        </w:rPr>
      </w:pPr>
      <w:r>
        <w:rPr>
          <w:rFonts w:hint="eastAsia" w:ascii="宋体" w:hAnsi="宋体"/>
          <w:color w:val="auto"/>
          <w:szCs w:val="22"/>
          <w:highlight w:val="none"/>
        </w:rPr>
        <w:t>项目概况及招标范围</w:t>
      </w:r>
    </w:p>
    <w:p>
      <w:pPr>
        <w:keepNext w:val="0"/>
        <w:keepLines w:val="0"/>
        <w:pageBreakBefore w:val="0"/>
        <w:widowControl w:val="0"/>
        <w:numPr>
          <w:ilvl w:val="0"/>
          <w:numId w:val="2"/>
        </w:numPr>
        <w:kinsoku/>
        <w:wordWrap/>
        <w:overflowPunct/>
        <w:topLinePunct w:val="0"/>
        <w:autoSpaceDE/>
        <w:autoSpaceDN/>
        <w:bidi w:val="0"/>
        <w:adjustRightInd/>
        <w:snapToGrid w:val="0"/>
        <w:spacing w:line="480" w:lineRule="exact"/>
        <w:jc w:val="left"/>
        <w:textAlignment w:val="baseline"/>
        <w:rPr>
          <w:rFonts w:hint="eastAsia" w:ascii="宋体" w:hAnsi="宋体"/>
          <w:color w:val="auto"/>
          <w:szCs w:val="22"/>
          <w:highlight w:val="none"/>
        </w:rPr>
      </w:pPr>
      <w:r>
        <w:rPr>
          <w:rFonts w:hint="eastAsia" w:ascii="宋体" w:hAnsi="宋体"/>
          <w:color w:val="auto"/>
          <w:szCs w:val="22"/>
          <w:highlight w:val="none"/>
        </w:rPr>
        <w:t>项目概况：</w:t>
      </w:r>
      <w:r>
        <w:rPr>
          <w:rFonts w:hint="eastAsia" w:ascii="宋体" w:hAnsi="宋体"/>
          <w:color w:val="auto"/>
          <w:szCs w:val="22"/>
          <w:highlight w:val="none"/>
          <w:u w:val="single"/>
        </w:rPr>
        <w:t xml:space="preserve"> 1、新建保障性住房501套，总建筑面积约 44367.57㎡，地上建筑37416.03㎡，其中：住宅34971.07㎡、社区商业731.60㎡、商业服务网点 318.60㎡、住宅配套697.38㎡（社区用房140.90㎡、物管用房155.16㎡、公厕 55.53㎡、架空层345.79㎡（不计容）），地下建筑6951.54㎡，其中：非人防面积469.05㎡、人防面积：6482.49㎡。发包人提供施工图所示范围土建及水电安装工程、室外附属、有关设计文件、设计说明及施工过程中下发的设计变更、图纸会审记录属于乙方的施工范围。具体工程内容详见工程量清单及施工图。</w:t>
      </w:r>
    </w:p>
    <w:p>
      <w:pPr>
        <w:keepNext w:val="0"/>
        <w:keepLines w:val="0"/>
        <w:pageBreakBefore w:val="0"/>
        <w:widowControl w:val="0"/>
        <w:numPr>
          <w:ilvl w:val="0"/>
          <w:numId w:val="2"/>
        </w:numPr>
        <w:kinsoku/>
        <w:wordWrap/>
        <w:overflowPunct/>
        <w:topLinePunct w:val="0"/>
        <w:autoSpaceDE/>
        <w:autoSpaceDN/>
        <w:bidi w:val="0"/>
        <w:adjustRightInd/>
        <w:snapToGrid w:val="0"/>
        <w:spacing w:line="480" w:lineRule="exact"/>
        <w:jc w:val="left"/>
        <w:textAlignment w:val="baseline"/>
        <w:rPr>
          <w:color w:val="auto"/>
          <w:highlight w:val="none"/>
        </w:rPr>
      </w:pPr>
      <w:r>
        <w:rPr>
          <w:rFonts w:hint="eastAsia" w:ascii="宋体" w:hAnsi="宋体"/>
          <w:color w:val="auto"/>
          <w:szCs w:val="22"/>
          <w:highlight w:val="none"/>
        </w:rPr>
        <w:t>招标范围</w:t>
      </w:r>
      <w:r>
        <w:rPr>
          <w:rFonts w:hint="eastAsia" w:ascii="宋体" w:hAnsi="宋体"/>
          <w:color w:val="auto"/>
          <w:szCs w:val="22"/>
          <w:highlight w:val="none"/>
          <w:lang w:eastAsia="zh-CN"/>
        </w:rPr>
        <w:t>及工种</w:t>
      </w:r>
      <w:r>
        <w:rPr>
          <w:rFonts w:hint="eastAsia" w:ascii="宋体" w:hAnsi="宋体"/>
          <w:color w:val="auto"/>
          <w:szCs w:val="22"/>
          <w:highlight w:val="none"/>
        </w:rPr>
        <w:t xml:space="preserve">： </w:t>
      </w:r>
      <w:r>
        <w:rPr>
          <w:rFonts w:hint="eastAsia" w:ascii="宋体" w:hAnsi="宋体"/>
          <w:color w:val="auto"/>
          <w:szCs w:val="22"/>
          <w:highlight w:val="none"/>
          <w:u w:val="single"/>
        </w:rPr>
        <w:t xml:space="preserve">    绥江县保障性租赁住房建设项目防水工程           </w:t>
      </w:r>
    </w:p>
    <w:p>
      <w:pPr>
        <w:keepNext w:val="0"/>
        <w:keepLines w:val="0"/>
        <w:pageBreakBefore w:val="0"/>
        <w:widowControl w:val="0"/>
        <w:kinsoku/>
        <w:wordWrap/>
        <w:overflowPunct/>
        <w:topLinePunct w:val="0"/>
        <w:autoSpaceDE/>
        <w:autoSpaceDN/>
        <w:bidi w:val="0"/>
        <w:adjustRightInd/>
        <w:snapToGrid w:val="0"/>
        <w:spacing w:line="480" w:lineRule="exact"/>
        <w:ind w:left="42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2、投标人资格要求：</w:t>
      </w:r>
    </w:p>
    <w:p>
      <w:pPr>
        <w:keepNext w:val="0"/>
        <w:keepLines w:val="0"/>
        <w:pageBreakBefore w:val="0"/>
        <w:widowControl w:val="0"/>
        <w:kinsoku/>
        <w:wordWrap/>
        <w:overflowPunct/>
        <w:topLinePunct w:val="0"/>
        <w:autoSpaceDE/>
        <w:autoSpaceDN/>
        <w:bidi w:val="0"/>
        <w:adjustRightInd/>
        <w:snapToGrid w:val="0"/>
        <w:spacing w:line="480" w:lineRule="exact"/>
        <w:ind w:left="420"/>
        <w:jc w:val="left"/>
        <w:textAlignment w:val="baseline"/>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1）资质要求：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eastAsia="zh-CN"/>
        </w:rPr>
        <w:t>防水防腐保温工程专业承包贰级及以上</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480" w:lineRule="exact"/>
        <w:ind w:left="42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2）业绩要求：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有类似工程</w:t>
      </w:r>
      <w:r>
        <w:rPr>
          <w:rFonts w:hint="eastAsia" w:ascii="宋体" w:hAnsi="宋体" w:eastAsia="宋体" w:cs="宋体"/>
          <w:color w:val="auto"/>
          <w:sz w:val="21"/>
          <w:szCs w:val="21"/>
          <w:highlight w:val="none"/>
          <w:u w:val="single"/>
          <w:lang w:val="en-US" w:eastAsia="zh-CN"/>
        </w:rPr>
        <w:t>一</w:t>
      </w:r>
      <w:r>
        <w:rPr>
          <w:rFonts w:hint="eastAsia" w:ascii="宋体" w:hAnsi="宋体" w:eastAsia="宋体" w:cs="宋体"/>
          <w:color w:val="auto"/>
          <w:sz w:val="21"/>
          <w:szCs w:val="21"/>
          <w:highlight w:val="none"/>
          <w:u w:val="single"/>
          <w:lang w:eastAsia="zh-CN"/>
        </w:rPr>
        <w:t>个</w:t>
      </w:r>
      <w:r>
        <w:rPr>
          <w:rFonts w:hint="eastAsia" w:ascii="宋体" w:hAnsi="宋体" w:eastAsia="宋体" w:cs="宋体"/>
          <w:color w:val="auto"/>
          <w:sz w:val="21"/>
          <w:szCs w:val="21"/>
          <w:highlight w:val="none"/>
          <w:u w:val="single"/>
          <w:lang w:val="en-US" w:eastAsia="zh-CN"/>
        </w:rPr>
        <w:t>及</w:t>
      </w:r>
      <w:r>
        <w:rPr>
          <w:rFonts w:hint="eastAsia" w:ascii="宋体" w:hAnsi="宋体" w:eastAsia="宋体" w:cs="宋体"/>
          <w:color w:val="auto"/>
          <w:sz w:val="21"/>
          <w:szCs w:val="21"/>
          <w:highlight w:val="none"/>
          <w:u w:val="single"/>
          <w:lang w:eastAsia="zh-CN"/>
        </w:rPr>
        <w:t>以上施工经验</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pacing w:line="480" w:lineRule="exact"/>
        <w:ind w:firstLine="42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rPr>
        <w:t>3）其他要求：</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 xml:space="preserve">工程进度款按每月完成产值的 </w:t>
      </w:r>
      <w:r>
        <w:rPr>
          <w:rFonts w:hint="eastAsia" w:ascii="宋体" w:hAnsi="宋体" w:eastAsia="宋体" w:cs="宋体"/>
          <w:color w:val="auto"/>
          <w:sz w:val="21"/>
          <w:szCs w:val="21"/>
          <w:highlight w:val="none"/>
          <w:u w:val="single"/>
          <w:lang w:val="en-US" w:eastAsia="zh-CN"/>
        </w:rPr>
        <w:t>70</w:t>
      </w:r>
      <w:r>
        <w:rPr>
          <w:rFonts w:hint="eastAsia" w:ascii="宋体" w:hAnsi="宋体" w:eastAsia="宋体" w:cs="宋体"/>
          <w:color w:val="auto"/>
          <w:sz w:val="21"/>
          <w:szCs w:val="21"/>
          <w:highlight w:val="none"/>
          <w:u w:val="single"/>
        </w:rPr>
        <w:t>%进行支付，</w:t>
      </w:r>
      <w:r>
        <w:rPr>
          <w:rFonts w:hint="eastAsia" w:ascii="宋体" w:hAnsi="宋体" w:eastAsia="宋体" w:cs="宋体"/>
          <w:color w:val="auto"/>
          <w:sz w:val="21"/>
          <w:szCs w:val="21"/>
          <w:highlight w:val="none"/>
          <w:u w:val="single"/>
          <w:shd w:val="clear" w:color="auto" w:fill="FFFFFF"/>
        </w:rPr>
        <w:t>具体支付方式按</w:t>
      </w:r>
      <w:r>
        <w:rPr>
          <w:rFonts w:hint="eastAsia" w:ascii="宋体" w:hAnsi="宋体" w:eastAsia="宋体" w:cs="宋体"/>
          <w:color w:val="auto"/>
          <w:sz w:val="21"/>
          <w:szCs w:val="21"/>
          <w:highlight w:val="none"/>
          <w:u w:val="single"/>
          <w:shd w:val="clear" w:color="auto" w:fill="FFFFFF"/>
          <w:lang w:eastAsia="zh-CN"/>
        </w:rPr>
        <w:t>合同专用条款</w:t>
      </w:r>
      <w:r>
        <w:rPr>
          <w:rFonts w:hint="eastAsia" w:ascii="宋体" w:hAnsi="宋体" w:eastAsia="宋体" w:cs="宋体"/>
          <w:color w:val="auto"/>
          <w:sz w:val="21"/>
          <w:szCs w:val="21"/>
          <w:highlight w:val="none"/>
          <w:u w:val="single"/>
          <w:shd w:val="clear" w:color="auto" w:fill="FFFFFF"/>
        </w:rPr>
        <w:t>21.7款执行</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防水</w:t>
      </w:r>
      <w:r>
        <w:rPr>
          <w:rFonts w:hint="eastAsia" w:ascii="宋体" w:hAnsi="宋体" w:eastAsia="宋体" w:cs="宋体"/>
          <w:color w:val="auto"/>
          <w:sz w:val="21"/>
          <w:szCs w:val="21"/>
          <w:highlight w:val="none"/>
          <w:u w:val="single"/>
        </w:rPr>
        <w:t>工程完工，</w:t>
      </w:r>
      <w:r>
        <w:rPr>
          <w:rFonts w:hint="eastAsia" w:ascii="宋体" w:hAnsi="宋体" w:eastAsia="宋体" w:cs="宋体"/>
          <w:color w:val="auto"/>
          <w:sz w:val="21"/>
          <w:szCs w:val="21"/>
          <w:highlight w:val="none"/>
          <w:u w:val="single"/>
          <w:shd w:val="clear" w:color="auto" w:fill="FFFFFF"/>
          <w:lang w:eastAsia="zh-CN"/>
        </w:rPr>
        <w:t>农民工工资全部结清</w:t>
      </w:r>
      <w:r>
        <w:rPr>
          <w:rFonts w:hint="eastAsia" w:ascii="宋体" w:hAnsi="宋体" w:eastAsia="宋体" w:cs="宋体"/>
          <w:color w:val="auto"/>
          <w:sz w:val="21"/>
          <w:szCs w:val="21"/>
          <w:highlight w:val="none"/>
          <w:u w:val="single"/>
          <w:shd w:val="clear" w:color="auto" w:fill="FFFFFF"/>
        </w:rPr>
        <w:t>、办完退场手续后</w:t>
      </w:r>
      <w:r>
        <w:rPr>
          <w:rFonts w:hint="eastAsia" w:ascii="宋体" w:hAnsi="宋体" w:eastAsia="宋体" w:cs="宋体"/>
          <w:color w:val="auto"/>
          <w:sz w:val="21"/>
          <w:szCs w:val="21"/>
          <w:highlight w:val="none"/>
          <w:u w:val="single"/>
        </w:rPr>
        <w:t>付至结算金额的</w:t>
      </w:r>
      <w:r>
        <w:rPr>
          <w:rFonts w:hint="eastAsia" w:ascii="宋体" w:hAnsi="宋体" w:eastAsia="宋体" w:cs="宋体"/>
          <w:color w:val="auto"/>
          <w:sz w:val="21"/>
          <w:szCs w:val="21"/>
          <w:highlight w:val="none"/>
          <w:u w:val="single"/>
          <w:lang w:val="en-US" w:eastAsia="zh-CN"/>
        </w:rPr>
        <w:t>90</w:t>
      </w:r>
      <w:r>
        <w:rPr>
          <w:rFonts w:hint="eastAsia" w:ascii="宋体" w:hAnsi="宋体" w:eastAsia="宋体" w:cs="宋体"/>
          <w:color w:val="auto"/>
          <w:sz w:val="21"/>
          <w:szCs w:val="21"/>
          <w:highlight w:val="none"/>
          <w:u w:val="single"/>
        </w:rPr>
        <w:t xml:space="preserve">%；竣工验收后待工程结算完成后工程款支付至 </w:t>
      </w:r>
      <w:r>
        <w:rPr>
          <w:rFonts w:hint="eastAsia" w:ascii="宋体" w:hAnsi="宋体" w:eastAsia="宋体" w:cs="宋体"/>
          <w:color w:val="auto"/>
          <w:sz w:val="21"/>
          <w:szCs w:val="21"/>
          <w:highlight w:val="none"/>
          <w:u w:val="single"/>
          <w:lang w:val="en-US" w:eastAsia="zh-CN"/>
        </w:rPr>
        <w:t>97</w:t>
      </w:r>
      <w:r>
        <w:rPr>
          <w:rFonts w:hint="eastAsia" w:ascii="宋体" w:hAnsi="宋体" w:eastAsia="宋体" w:cs="宋体"/>
          <w:color w:val="auto"/>
          <w:sz w:val="21"/>
          <w:szCs w:val="21"/>
          <w:highlight w:val="none"/>
          <w:u w:val="single"/>
        </w:rPr>
        <w:t xml:space="preserve"> %，剩余</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%作为质保金</w:t>
      </w:r>
      <w:r>
        <w:rPr>
          <w:rFonts w:hint="eastAsia" w:ascii="宋体" w:hAnsi="宋体" w:eastAsia="宋体" w:cs="宋体"/>
          <w:color w:val="auto"/>
          <w:sz w:val="21"/>
          <w:szCs w:val="21"/>
          <w:highlight w:val="none"/>
          <w:u w:val="single"/>
          <w:lang w:eastAsia="zh-CN"/>
        </w:rPr>
        <w:t>，待质保期满后无工程质量问题无息退还</w:t>
      </w:r>
      <w:r>
        <w:rPr>
          <w:rFonts w:hint="eastAsia" w:ascii="宋体" w:hAnsi="宋体" w:eastAsia="宋体" w:cs="宋体"/>
          <w:color w:val="auto"/>
          <w:sz w:val="21"/>
          <w:szCs w:val="21"/>
          <w:highlight w:val="none"/>
          <w:u w:val="none"/>
          <w:lang w:eastAsia="zh-CN"/>
        </w:rPr>
        <w:t>。</w:t>
      </w:r>
    </w:p>
    <w:p>
      <w:pPr>
        <w:pStyle w:val="23"/>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投标人负责从本工程开工至竣工</w:t>
      </w:r>
      <w:r>
        <w:rPr>
          <w:rFonts w:hint="eastAsia" w:ascii="宋体" w:hAnsi="宋体" w:eastAsia="宋体" w:cs="宋体"/>
          <w:color w:val="auto"/>
          <w:sz w:val="21"/>
          <w:szCs w:val="21"/>
          <w:highlight w:val="none"/>
          <w:u w:val="single"/>
          <w:lang w:eastAsia="zh-CN"/>
        </w:rPr>
        <w:t>设计要求及相关标准规范规定的必须进行试验检测的工序及原材料进场复检以内的</w:t>
      </w:r>
      <w:r>
        <w:rPr>
          <w:rFonts w:hint="eastAsia" w:ascii="宋体" w:hAnsi="宋体" w:eastAsia="宋体" w:cs="宋体"/>
          <w:color w:val="auto"/>
          <w:sz w:val="21"/>
          <w:szCs w:val="21"/>
          <w:highlight w:val="none"/>
          <w:u w:val="single"/>
          <w:lang w:val="en-US" w:eastAsia="zh-CN"/>
        </w:rPr>
        <w:t>现场取样及送样</w:t>
      </w:r>
      <w:r>
        <w:rPr>
          <w:rFonts w:hint="eastAsia" w:ascii="宋体" w:hAnsi="宋体" w:eastAsia="宋体" w:cs="宋体"/>
          <w:color w:val="auto"/>
          <w:sz w:val="21"/>
          <w:szCs w:val="21"/>
          <w:highlight w:val="none"/>
          <w:u w:val="single"/>
          <w:lang w:eastAsia="zh-CN"/>
        </w:rPr>
        <w:t>。并对样品的真实有效性负责，</w:t>
      </w:r>
      <w:r>
        <w:rPr>
          <w:rFonts w:hint="eastAsia" w:ascii="宋体" w:hAnsi="宋体" w:eastAsia="宋体" w:cs="宋体"/>
          <w:color w:val="auto"/>
          <w:sz w:val="21"/>
          <w:szCs w:val="21"/>
          <w:highlight w:val="none"/>
          <w:u w:val="single"/>
          <w:lang w:val="en-US" w:eastAsia="zh-CN"/>
        </w:rPr>
        <w:t>原材料检测所产生的费用由投标人承担。</w:t>
      </w:r>
      <w:r>
        <w:rPr>
          <w:rFonts w:hint="eastAsia" w:ascii="宋体" w:hAnsi="宋体" w:eastAsia="宋体" w:cs="宋体"/>
          <w:color w:val="auto"/>
          <w:sz w:val="21"/>
          <w:szCs w:val="21"/>
          <w:highlight w:val="none"/>
          <w:u w:val="single"/>
          <w:lang w:eastAsia="zh-CN"/>
        </w:rPr>
        <w:t>样品送至有相关资质单位</w:t>
      </w:r>
      <w:r>
        <w:rPr>
          <w:rFonts w:hint="eastAsia" w:ascii="宋体" w:hAnsi="宋体" w:eastAsia="宋体" w:cs="宋体"/>
          <w:color w:val="auto"/>
          <w:sz w:val="21"/>
          <w:szCs w:val="21"/>
          <w:highlight w:val="none"/>
          <w:u w:val="single"/>
          <w:lang w:val="en-US" w:eastAsia="zh-CN"/>
        </w:rPr>
        <w:t>并在规定时效内提供完整合格的检测报告给招标人做为验收资料，如因投标人原因造成报告出具不及时造成招标人损失，由投标人承担相应损失。</w:t>
      </w:r>
    </w:p>
    <w:p>
      <w:pPr>
        <w:pStyle w:val="23"/>
        <w:rPr>
          <w:rFonts w:hint="eastAsia"/>
          <w:b/>
          <w:bCs/>
          <w:color w:val="auto"/>
          <w:highlight w:val="none"/>
          <w:lang w:val="en-US" w:eastAsia="zh-CN"/>
        </w:rPr>
      </w:pPr>
      <w:r>
        <w:rPr>
          <w:rFonts w:hint="eastAsia" w:ascii="宋体" w:hAnsi="宋体" w:eastAsia="宋体" w:cs="宋体"/>
          <w:b/>
          <w:bCs/>
          <w:color w:val="auto"/>
          <w:kern w:val="2"/>
          <w:sz w:val="21"/>
          <w:szCs w:val="22"/>
          <w:highlight w:val="none"/>
          <w:lang w:val="en-US" w:eastAsia="zh-CN" w:bidi="ar-SA"/>
        </w:rPr>
        <w:t>3、本次招投标方式：线上</w:t>
      </w:r>
      <w:r>
        <w:rPr>
          <w:rFonts w:hint="eastAsia" w:ascii="宋体" w:hAnsi="宋体" w:eastAsia="宋体" w:cs="宋体"/>
          <w:b/>
          <w:bCs/>
          <w:color w:val="auto"/>
          <w:kern w:val="2"/>
          <w:sz w:val="21"/>
          <w:szCs w:val="22"/>
          <w:highlight w:val="none"/>
          <w:lang w:val="en-US" w:eastAsia="zh-CN" w:bidi="ar-SA"/>
        </w:rPr>
        <w:sym w:font="Wingdings 2" w:char="0052"/>
      </w:r>
      <w:r>
        <w:rPr>
          <w:rFonts w:hint="eastAsia" w:ascii="宋体" w:hAnsi="宋体" w:eastAsia="宋体" w:cs="宋体"/>
          <w:b/>
          <w:bCs/>
          <w:color w:val="auto"/>
          <w:kern w:val="2"/>
          <w:sz w:val="21"/>
          <w:szCs w:val="22"/>
          <w:highlight w:val="none"/>
          <w:lang w:val="en-US" w:eastAsia="zh-CN" w:bidi="ar-SA"/>
        </w:rPr>
        <w:t xml:space="preserve">  、 线下□（勾选）</w:t>
      </w:r>
    </w:p>
    <w:p>
      <w:pPr>
        <w:keepNext w:val="0"/>
        <w:keepLines w:val="0"/>
        <w:pageBreakBefore w:val="0"/>
        <w:widowControl w:val="0"/>
        <w:kinsoku/>
        <w:wordWrap/>
        <w:overflowPunct/>
        <w:topLinePunct w:val="0"/>
        <w:autoSpaceDE/>
        <w:autoSpaceDN/>
        <w:bidi w:val="0"/>
        <w:adjustRightInd/>
        <w:snapToGrid w:val="0"/>
        <w:spacing w:line="480" w:lineRule="exact"/>
        <w:ind w:firstLine="630" w:firstLineChars="300"/>
        <w:jc w:val="left"/>
        <w:textAlignment w:val="baseline"/>
        <w:rPr>
          <w:rFonts w:hint="default"/>
          <w:b/>
          <w:bCs/>
          <w:color w:val="auto"/>
          <w:highlight w:val="none"/>
          <w:lang w:val="en-US" w:eastAsia="zh-CN"/>
        </w:rPr>
      </w:pPr>
      <w:r>
        <w:rPr>
          <w:rFonts w:hint="eastAsia" w:ascii="宋体" w:hAnsi="宋体"/>
          <w:color w:val="auto"/>
          <w:szCs w:val="22"/>
          <w:highlight w:val="none"/>
          <w:lang w:val="en-US" w:eastAsia="zh-CN"/>
        </w:rPr>
        <w:t>1）</w:t>
      </w:r>
      <w:r>
        <w:rPr>
          <w:rFonts w:hint="eastAsia" w:ascii="宋体" w:hAnsi="宋体"/>
          <w:color w:val="auto"/>
          <w:szCs w:val="22"/>
          <w:highlight w:val="none"/>
        </w:rPr>
        <w:t>招标文件获取方式</w:t>
      </w:r>
    </w:p>
    <w:p>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left"/>
        <w:textAlignment w:val="baseline"/>
        <w:rPr>
          <w:rFonts w:hint="eastAsia" w:ascii="宋体" w:hAnsi="宋体" w:cs="宋体"/>
          <w:color w:val="auto"/>
          <w:sz w:val="21"/>
          <w:szCs w:val="21"/>
          <w:highlight w:val="none"/>
          <w:u w:val="single"/>
          <w:lang w:val="en-US" w:eastAsia="zh-CN"/>
        </w:rPr>
      </w:pPr>
      <w:r>
        <w:rPr>
          <w:rFonts w:ascii="宋体" w:hAnsi="宋体"/>
          <w:color w:val="auto"/>
          <w:sz w:val="21"/>
          <w:szCs w:val="21"/>
          <w:highlight w:val="none"/>
        </w:rPr>
        <w:t>请</w:t>
      </w:r>
      <w:r>
        <w:rPr>
          <w:rFonts w:hint="eastAsia" w:ascii="宋体" w:hAnsi="宋体"/>
          <w:color w:val="auto"/>
          <w:sz w:val="21"/>
          <w:szCs w:val="21"/>
          <w:highlight w:val="none"/>
        </w:rPr>
        <w:t>凡有意参加本项目</w:t>
      </w:r>
      <w:r>
        <w:rPr>
          <w:rFonts w:hint="eastAsia" w:ascii="宋体" w:hAnsi="宋体"/>
          <w:color w:val="auto"/>
          <w:sz w:val="21"/>
          <w:szCs w:val="21"/>
          <w:highlight w:val="none"/>
          <w:lang w:val="en-US" w:eastAsia="zh-CN"/>
        </w:rPr>
        <w:t>投标</w:t>
      </w:r>
      <w:r>
        <w:rPr>
          <w:rFonts w:hint="eastAsia" w:ascii="宋体" w:hAnsi="宋体"/>
          <w:color w:val="auto"/>
          <w:sz w:val="21"/>
          <w:szCs w:val="21"/>
          <w:highlight w:val="none"/>
        </w:rPr>
        <w:t>的投标人</w:t>
      </w:r>
      <w:r>
        <w:rPr>
          <w:rFonts w:ascii="宋体" w:hAnsi="宋体"/>
          <w:color w:val="auto"/>
          <w:sz w:val="21"/>
          <w:szCs w:val="21"/>
          <w:highlight w:val="none"/>
        </w:rPr>
        <w:t>于</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2023</w:t>
      </w:r>
      <w:r>
        <w:rPr>
          <w:rFonts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6</w:t>
      </w:r>
      <w:r>
        <w:rPr>
          <w:rFonts w:ascii="宋体" w:hAnsi="宋体"/>
          <w:color w:val="auto"/>
          <w:sz w:val="21"/>
          <w:szCs w:val="21"/>
          <w:highlight w:val="none"/>
        </w:rPr>
        <w:t>月</w:t>
      </w:r>
      <w:r>
        <w:rPr>
          <w:rFonts w:hint="eastAsia" w:ascii="宋体" w:hAnsi="宋体"/>
          <w:color w:val="auto"/>
          <w:sz w:val="21"/>
          <w:szCs w:val="21"/>
          <w:highlight w:val="none"/>
          <w:u w:val="single"/>
          <w:lang w:val="en-US" w:eastAsia="zh-CN"/>
        </w:rPr>
        <w:t xml:space="preserve">21  </w:t>
      </w:r>
      <w:r>
        <w:rPr>
          <w:rFonts w:hint="eastAsia" w:ascii="宋体" w:hAnsi="宋体"/>
          <w:color w:val="auto"/>
          <w:sz w:val="21"/>
          <w:szCs w:val="21"/>
          <w:highlight w:val="none"/>
          <w:u w:val="single"/>
        </w:rPr>
        <w:t xml:space="preserve"> </w:t>
      </w:r>
      <w:r>
        <w:rPr>
          <w:rFonts w:ascii="宋体" w:hAnsi="宋体"/>
          <w:color w:val="auto"/>
          <w:sz w:val="21"/>
          <w:szCs w:val="21"/>
          <w:highlight w:val="none"/>
        </w:rPr>
        <w:t>日至</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2023</w:t>
      </w:r>
      <w:r>
        <w:rPr>
          <w:rFonts w:hint="eastAsia" w:ascii="宋体" w:hAnsi="宋体"/>
          <w:color w:val="auto"/>
          <w:sz w:val="21"/>
          <w:szCs w:val="21"/>
          <w:highlight w:val="none"/>
          <w:u w:val="single"/>
        </w:rPr>
        <w:t xml:space="preserve"> </w:t>
      </w:r>
      <w:r>
        <w:rPr>
          <w:rFonts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6</w:t>
      </w:r>
      <w:r>
        <w:rPr>
          <w:rFonts w:hint="eastAsia" w:ascii="宋体" w:hAnsi="宋体"/>
          <w:color w:val="auto"/>
          <w:sz w:val="21"/>
          <w:szCs w:val="21"/>
          <w:highlight w:val="none"/>
          <w:u w:val="single"/>
        </w:rPr>
        <w:t xml:space="preserve"> </w:t>
      </w:r>
      <w:r>
        <w:rPr>
          <w:rFonts w:ascii="宋体" w:hAnsi="宋体"/>
          <w:color w:val="auto"/>
          <w:sz w:val="21"/>
          <w:szCs w:val="21"/>
          <w:highlight w:val="none"/>
        </w:rPr>
        <w:t>月</w:t>
      </w:r>
      <w:r>
        <w:rPr>
          <w:rFonts w:hint="eastAsia" w:ascii="宋体" w:hAnsi="宋体"/>
          <w:color w:val="auto"/>
          <w:sz w:val="21"/>
          <w:szCs w:val="21"/>
          <w:highlight w:val="none"/>
          <w:u w:val="single"/>
          <w:lang w:val="en-US" w:eastAsia="zh-CN"/>
        </w:rPr>
        <w:t>22</w:t>
      </w:r>
      <w:r>
        <w:rPr>
          <w:rFonts w:ascii="宋体" w:hAnsi="宋体"/>
          <w:color w:val="auto"/>
          <w:sz w:val="21"/>
          <w:szCs w:val="21"/>
          <w:highlight w:val="none"/>
        </w:rPr>
        <w:t>日</w:t>
      </w:r>
      <w:r>
        <w:rPr>
          <w:rFonts w:hint="eastAsia" w:ascii="宋体" w:hAnsi="宋体"/>
          <w:color w:val="auto"/>
          <w:sz w:val="21"/>
          <w:szCs w:val="21"/>
          <w:highlight w:val="none"/>
        </w:rPr>
        <w:t>（法定公休日、节假日除外）</w:t>
      </w:r>
      <w:r>
        <w:rPr>
          <w:rFonts w:ascii="宋体" w:hAnsi="宋体"/>
          <w:color w:val="auto"/>
          <w:sz w:val="21"/>
          <w:szCs w:val="21"/>
          <w:highlight w:val="none"/>
        </w:rPr>
        <w:t>，</w:t>
      </w:r>
      <w:r>
        <w:rPr>
          <w:rFonts w:hint="eastAsia" w:ascii="宋体" w:hAnsi="宋体"/>
          <w:color w:val="auto"/>
          <w:sz w:val="21"/>
          <w:szCs w:val="21"/>
          <w:highlight w:val="none"/>
        </w:rPr>
        <w:t>每日上午</w:t>
      </w:r>
      <w:r>
        <w:rPr>
          <w:rFonts w:hint="eastAsia" w:ascii="宋体" w:hAnsi="宋体"/>
          <w:color w:val="auto"/>
          <w:sz w:val="21"/>
          <w:szCs w:val="21"/>
          <w:highlight w:val="none"/>
          <w:u w:val="single"/>
          <w:lang w:val="en-US" w:eastAsia="zh-CN"/>
        </w:rPr>
        <w:t>9:00</w:t>
      </w:r>
      <w:r>
        <w:rPr>
          <w:rFonts w:ascii="宋体" w:hAnsi="宋体"/>
          <w:color w:val="auto"/>
          <w:sz w:val="21"/>
          <w:szCs w:val="21"/>
          <w:highlight w:val="none"/>
        </w:rPr>
        <w:t>时至</w:t>
      </w:r>
      <w:r>
        <w:rPr>
          <w:rFonts w:hint="eastAsia" w:ascii="宋体" w:hAnsi="宋体"/>
          <w:color w:val="auto"/>
          <w:sz w:val="21"/>
          <w:szCs w:val="21"/>
          <w:highlight w:val="none"/>
          <w:u w:val="single"/>
          <w:lang w:val="en-US" w:eastAsia="zh-CN"/>
        </w:rPr>
        <w:t>12:00</w:t>
      </w:r>
      <w:r>
        <w:rPr>
          <w:rFonts w:ascii="宋体" w:hAnsi="宋体"/>
          <w:color w:val="auto"/>
          <w:sz w:val="21"/>
          <w:szCs w:val="21"/>
          <w:highlight w:val="none"/>
        </w:rPr>
        <w:t>时</w:t>
      </w:r>
      <w:r>
        <w:rPr>
          <w:rFonts w:hint="eastAsia" w:ascii="宋体" w:hAnsi="宋体"/>
          <w:color w:val="auto"/>
          <w:sz w:val="21"/>
          <w:szCs w:val="21"/>
          <w:highlight w:val="none"/>
        </w:rPr>
        <w:t>，下午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14:00</w:t>
      </w:r>
      <w:r>
        <w:rPr>
          <w:rFonts w:hint="eastAsia" w:ascii="宋体" w:hAnsi="宋体"/>
          <w:color w:val="auto"/>
          <w:sz w:val="21"/>
          <w:szCs w:val="21"/>
          <w:highlight w:val="none"/>
        </w:rPr>
        <w:t xml:space="preserve"> </w:t>
      </w:r>
      <w:r>
        <w:rPr>
          <w:rFonts w:ascii="宋体" w:hAnsi="宋体"/>
          <w:color w:val="auto"/>
          <w:sz w:val="21"/>
          <w:szCs w:val="21"/>
          <w:highlight w:val="none"/>
        </w:rPr>
        <w:t>时至</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18:00</w:t>
      </w:r>
      <w:r>
        <w:rPr>
          <w:rFonts w:hint="eastAsia" w:ascii="宋体" w:hAnsi="宋体"/>
          <w:color w:val="auto"/>
          <w:sz w:val="21"/>
          <w:szCs w:val="21"/>
          <w:highlight w:val="none"/>
          <w:u w:val="single"/>
        </w:rPr>
        <w:t xml:space="preserve">   </w:t>
      </w:r>
      <w:r>
        <w:rPr>
          <w:rFonts w:ascii="宋体" w:hAnsi="宋体"/>
          <w:color w:val="auto"/>
          <w:sz w:val="21"/>
          <w:szCs w:val="21"/>
          <w:highlight w:val="none"/>
        </w:rPr>
        <w:t>时（北京时间，下同）</w:t>
      </w:r>
      <w:r>
        <w:rPr>
          <w:rFonts w:hint="eastAsia" w:ascii="宋体" w:hAnsi="宋体"/>
          <w:color w:val="auto"/>
          <w:sz w:val="21"/>
          <w:szCs w:val="21"/>
          <w:highlight w:val="none"/>
        </w:rPr>
        <w:t>。</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u w:val="single"/>
          <w:lang w:val="en-US" w:eastAsia="zh-CN"/>
        </w:rPr>
        <w:t>云上营家线上</w:t>
      </w:r>
      <w:r>
        <w:rPr>
          <w:rFonts w:hint="eastAsia" w:ascii="宋体" w:hAnsi="宋体" w:eastAsia="宋体" w:cs="宋体"/>
          <w:color w:val="auto"/>
          <w:sz w:val="21"/>
          <w:szCs w:val="21"/>
          <w:highlight w:val="none"/>
          <w:u w:val="single"/>
        </w:rPr>
        <w:t>（地址：</w:t>
      </w:r>
      <w:r>
        <w:rPr>
          <w:rFonts w:hint="eastAsia" w:ascii="宋体" w:hAnsi="宋体" w:eastAsia="宋体" w:cs="宋体"/>
          <w:color w:val="auto"/>
          <w:sz w:val="21"/>
          <w:szCs w:val="21"/>
          <w:highlight w:val="none"/>
          <w:u w:val="single"/>
          <w:lang w:val="en-US" w:eastAsia="zh-CN"/>
        </w:rPr>
        <w:fldChar w:fldCharType="begin"/>
      </w:r>
      <w:r>
        <w:rPr>
          <w:rFonts w:hint="eastAsia" w:ascii="宋体" w:hAnsi="宋体" w:eastAsia="宋体" w:cs="宋体"/>
          <w:color w:val="auto"/>
          <w:sz w:val="21"/>
          <w:szCs w:val="21"/>
          <w:highlight w:val="none"/>
          <w:u w:val="single"/>
          <w:lang w:val="en-US" w:eastAsia="zh-CN"/>
        </w:rPr>
        <w:instrText xml:space="preserve"> HYPERLINK "https://www.inja.com线上获取招标文件。" </w:instrText>
      </w:r>
      <w:r>
        <w:rPr>
          <w:rFonts w:hint="eastAsia" w:ascii="宋体" w:hAnsi="宋体" w:eastAsia="宋体" w:cs="宋体"/>
          <w:color w:val="auto"/>
          <w:sz w:val="21"/>
          <w:szCs w:val="21"/>
          <w:highlight w:val="none"/>
          <w:u w:val="single"/>
          <w:lang w:val="en-US" w:eastAsia="zh-CN"/>
        </w:rPr>
        <w:fldChar w:fldCharType="separate"/>
      </w:r>
      <w:r>
        <w:rPr>
          <w:rStyle w:val="27"/>
          <w:rFonts w:hint="eastAsia" w:ascii="宋体" w:hAnsi="宋体" w:eastAsia="宋体" w:cs="宋体"/>
          <w:color w:val="auto"/>
          <w:sz w:val="21"/>
          <w:szCs w:val="21"/>
          <w:highlight w:val="none"/>
          <w:lang w:val="en-US" w:eastAsia="zh-CN"/>
        </w:rPr>
        <w:t>https://www.inja.com</w:t>
      </w:r>
      <w:r>
        <w:rPr>
          <w:rStyle w:val="27"/>
          <w:rFonts w:hint="eastAsia" w:ascii="宋体" w:hAnsi="宋体" w:cs="宋体"/>
          <w:color w:val="auto"/>
          <w:sz w:val="21"/>
          <w:szCs w:val="21"/>
          <w:highlight w:val="none"/>
          <w:lang w:val="en-US" w:eastAsia="zh-CN"/>
        </w:rPr>
        <w:t>线上获取招标文件。</w:t>
      </w:r>
      <w:r>
        <w:rPr>
          <w:rFonts w:hint="eastAsia" w:ascii="宋体" w:hAnsi="宋体" w:eastAsia="宋体" w:cs="宋体"/>
          <w:color w:val="auto"/>
          <w:sz w:val="21"/>
          <w:szCs w:val="21"/>
          <w:highlight w:val="none"/>
          <w:u w:val="single"/>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630" w:leftChars="0"/>
        <w:jc w:val="left"/>
        <w:textAlignment w:val="baseline"/>
        <w:rPr>
          <w:rFonts w:ascii="宋体" w:hAnsi="宋体"/>
          <w:color w:val="auto"/>
          <w:szCs w:val="22"/>
          <w:highlight w:val="none"/>
        </w:rPr>
      </w:pPr>
      <w:r>
        <w:rPr>
          <w:rFonts w:hint="eastAsia" w:ascii="宋体" w:hAnsi="宋体"/>
          <w:color w:val="auto"/>
          <w:szCs w:val="22"/>
          <w:highlight w:val="none"/>
          <w:lang w:val="en-US" w:eastAsia="zh-CN"/>
        </w:rPr>
        <w:t>2）</w:t>
      </w:r>
      <w:r>
        <w:rPr>
          <w:rFonts w:ascii="宋体" w:hAnsi="宋体"/>
          <w:color w:val="auto"/>
          <w:szCs w:val="22"/>
          <w:highlight w:val="none"/>
        </w:rPr>
        <w:t>招标文件售价为</w:t>
      </w:r>
      <w:r>
        <w:rPr>
          <w:rFonts w:hint="eastAsia" w:ascii="宋体" w:hAnsi="宋体"/>
          <w:color w:val="auto"/>
          <w:szCs w:val="22"/>
          <w:highlight w:val="none"/>
          <w:u w:val="single"/>
        </w:rPr>
        <w:t xml:space="preserve">   </w:t>
      </w:r>
      <w:r>
        <w:rPr>
          <w:rFonts w:hint="eastAsia" w:ascii="宋体" w:hAnsi="宋体"/>
          <w:color w:val="auto"/>
          <w:szCs w:val="22"/>
          <w:highlight w:val="none"/>
          <w:u w:val="single"/>
          <w:lang w:val="en-US" w:eastAsia="zh-CN"/>
        </w:rPr>
        <w:t>/</w:t>
      </w:r>
      <w:r>
        <w:rPr>
          <w:rFonts w:hint="eastAsia" w:ascii="宋体" w:hAnsi="宋体"/>
          <w:color w:val="auto"/>
          <w:szCs w:val="22"/>
          <w:highlight w:val="none"/>
          <w:u w:val="single"/>
        </w:rPr>
        <w:t xml:space="preserve">    </w:t>
      </w:r>
      <w:r>
        <w:rPr>
          <w:rFonts w:ascii="宋体" w:hAnsi="宋体"/>
          <w:color w:val="auto"/>
          <w:szCs w:val="22"/>
          <w:highlight w:val="none"/>
        </w:rPr>
        <w:t>元</w:t>
      </w:r>
      <w:r>
        <w:rPr>
          <w:rFonts w:hint="eastAsia" w:ascii="宋体" w:hAnsi="宋体"/>
          <w:color w:val="auto"/>
          <w:szCs w:val="22"/>
          <w:highlight w:val="none"/>
          <w:lang w:val="en-US" w:eastAsia="zh-CN"/>
        </w:rPr>
        <w:t>/份</w:t>
      </w:r>
      <w:r>
        <w:rPr>
          <w:rFonts w:ascii="宋体" w:hAnsi="宋体"/>
          <w:color w:val="auto"/>
          <w:szCs w:val="22"/>
          <w:highlight w:val="none"/>
        </w:rPr>
        <w:t>，售后不退。</w:t>
      </w:r>
    </w:p>
    <w:p>
      <w:pPr>
        <w:keepNext w:val="0"/>
        <w:keepLines w:val="0"/>
        <w:pageBreakBefore w:val="0"/>
        <w:widowControl w:val="0"/>
        <w:numPr>
          <w:ilvl w:val="0"/>
          <w:numId w:val="0"/>
        </w:numPr>
        <w:kinsoku/>
        <w:wordWrap/>
        <w:overflowPunct/>
        <w:topLinePunct w:val="0"/>
        <w:autoSpaceDE/>
        <w:autoSpaceDN/>
        <w:bidi w:val="0"/>
        <w:adjustRightInd/>
        <w:spacing w:line="480" w:lineRule="exact"/>
        <w:ind w:left="0" w:leftChars="0" w:firstLine="638" w:firstLineChars="304"/>
        <w:rPr>
          <w:rFonts w:hint="eastAsia"/>
          <w:b/>
          <w:bCs/>
          <w:color w:val="auto"/>
          <w:highlight w:val="none"/>
          <w:u w:val="single"/>
          <w:lang w:val="en-US" w:eastAsia="zh-CN"/>
        </w:rPr>
      </w:pPr>
      <w:r>
        <w:rPr>
          <w:rFonts w:hint="eastAsia" w:ascii="宋体" w:hAnsi="宋体"/>
          <w:color w:val="auto"/>
          <w:szCs w:val="22"/>
          <w:highlight w:val="none"/>
          <w:lang w:val="en-US" w:eastAsia="zh-CN"/>
        </w:rPr>
        <w:t>3）</w:t>
      </w:r>
      <w:r>
        <w:rPr>
          <w:rFonts w:hint="eastAsia" w:ascii="宋体" w:hAnsi="宋体"/>
          <w:color w:val="auto"/>
          <w:szCs w:val="22"/>
          <w:highlight w:val="none"/>
        </w:rPr>
        <w:t>投标文件递交截止时间及地点</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638" w:firstLineChars="304"/>
        <w:jc w:val="left"/>
        <w:textAlignment w:val="baseline"/>
        <w:rPr>
          <w:rFonts w:hint="eastAsia" w:ascii="宋体" w:hAnsi="宋体"/>
          <w:color w:val="auto"/>
          <w:szCs w:val="22"/>
          <w:highlight w:val="none"/>
        </w:rPr>
      </w:pPr>
      <w:r>
        <w:rPr>
          <w:rFonts w:hint="eastAsia" w:ascii="宋体" w:hAnsi="宋体"/>
          <w:color w:val="auto"/>
          <w:szCs w:val="22"/>
          <w:highlight w:val="none"/>
        </w:rPr>
        <w:t>①</w:t>
      </w:r>
      <w:r>
        <w:rPr>
          <w:rFonts w:ascii="宋体" w:hAnsi="宋体"/>
          <w:color w:val="auto"/>
          <w:szCs w:val="22"/>
          <w:highlight w:val="none"/>
        </w:rPr>
        <w:t>递交投标文件的截止时间（投标截止时间，下同）</w:t>
      </w:r>
      <w:r>
        <w:rPr>
          <w:rFonts w:hint="eastAsia" w:ascii="宋体" w:hAnsi="宋体"/>
          <w:color w:val="auto"/>
          <w:szCs w:val="22"/>
          <w:highlight w:val="none"/>
        </w:rPr>
        <w:t>：</w:t>
      </w:r>
      <w:r>
        <w:rPr>
          <w:rFonts w:hint="eastAsia" w:ascii="宋体" w:hAnsi="宋体"/>
          <w:color w:val="auto"/>
          <w:szCs w:val="22"/>
          <w:highlight w:val="none"/>
          <w:u w:val="single"/>
        </w:rPr>
        <w:t xml:space="preserve">  </w:t>
      </w:r>
      <w:r>
        <w:rPr>
          <w:rFonts w:hint="eastAsia" w:ascii="宋体" w:hAnsi="宋体"/>
          <w:color w:val="auto"/>
          <w:szCs w:val="22"/>
          <w:highlight w:val="none"/>
          <w:u w:val="single"/>
          <w:lang w:val="en-US" w:eastAsia="zh-CN"/>
        </w:rPr>
        <w:t>2023</w:t>
      </w:r>
      <w:r>
        <w:rPr>
          <w:rFonts w:hint="eastAsia" w:ascii="宋体" w:hAnsi="宋体"/>
          <w:color w:val="auto"/>
          <w:szCs w:val="22"/>
          <w:highlight w:val="none"/>
          <w:u w:val="single"/>
        </w:rPr>
        <w:t xml:space="preserve"> </w:t>
      </w:r>
      <w:r>
        <w:rPr>
          <w:rFonts w:ascii="宋体" w:hAnsi="宋体"/>
          <w:color w:val="auto"/>
          <w:szCs w:val="22"/>
          <w:highlight w:val="none"/>
        </w:rPr>
        <w:t>年</w:t>
      </w:r>
      <w:r>
        <w:rPr>
          <w:rFonts w:hint="eastAsia" w:ascii="宋体" w:hAnsi="宋体"/>
          <w:color w:val="auto"/>
          <w:szCs w:val="22"/>
          <w:highlight w:val="none"/>
          <w:u w:val="single"/>
        </w:rPr>
        <w:t xml:space="preserve">  </w:t>
      </w:r>
      <w:r>
        <w:rPr>
          <w:rFonts w:hint="eastAsia" w:ascii="宋体" w:hAnsi="宋体"/>
          <w:color w:val="auto"/>
          <w:szCs w:val="22"/>
          <w:highlight w:val="none"/>
          <w:u w:val="single"/>
          <w:lang w:val="en-US" w:eastAsia="zh-CN"/>
        </w:rPr>
        <w:t>6</w:t>
      </w:r>
      <w:r>
        <w:rPr>
          <w:rFonts w:hint="eastAsia" w:ascii="宋体" w:hAnsi="宋体"/>
          <w:color w:val="auto"/>
          <w:szCs w:val="22"/>
          <w:highlight w:val="none"/>
          <w:u w:val="single"/>
        </w:rPr>
        <w:t xml:space="preserve"> </w:t>
      </w:r>
      <w:r>
        <w:rPr>
          <w:rFonts w:ascii="宋体" w:hAnsi="宋体"/>
          <w:color w:val="auto"/>
          <w:szCs w:val="22"/>
          <w:highlight w:val="none"/>
        </w:rPr>
        <w:t>月</w:t>
      </w:r>
      <w:r>
        <w:rPr>
          <w:rFonts w:hint="eastAsia" w:ascii="宋体" w:hAnsi="宋体"/>
          <w:color w:val="auto"/>
          <w:szCs w:val="22"/>
          <w:highlight w:val="none"/>
          <w:u w:val="single"/>
        </w:rPr>
        <w:t xml:space="preserve"> </w:t>
      </w:r>
      <w:r>
        <w:rPr>
          <w:rFonts w:hint="eastAsia" w:ascii="宋体" w:hAnsi="宋体"/>
          <w:color w:val="auto"/>
          <w:szCs w:val="22"/>
          <w:highlight w:val="none"/>
          <w:u w:val="single"/>
          <w:lang w:val="en-US" w:eastAsia="zh-CN"/>
        </w:rPr>
        <w:t>27</w:t>
      </w:r>
      <w:r>
        <w:rPr>
          <w:rFonts w:hint="eastAsia" w:ascii="宋体" w:hAnsi="宋体"/>
          <w:color w:val="auto"/>
          <w:szCs w:val="22"/>
          <w:highlight w:val="none"/>
          <w:u w:val="single"/>
        </w:rPr>
        <w:t xml:space="preserve">  </w:t>
      </w:r>
      <w:r>
        <w:rPr>
          <w:rFonts w:ascii="宋体" w:hAnsi="宋体"/>
          <w:color w:val="auto"/>
          <w:szCs w:val="22"/>
          <w:highlight w:val="none"/>
        </w:rPr>
        <w:t>日</w:t>
      </w:r>
      <w:r>
        <w:rPr>
          <w:rFonts w:hint="eastAsia" w:ascii="宋体" w:hAnsi="宋体"/>
          <w:color w:val="auto"/>
          <w:szCs w:val="22"/>
          <w:highlight w:val="none"/>
          <w:u w:val="single"/>
        </w:rPr>
        <w:t xml:space="preserve">  </w:t>
      </w:r>
      <w:r>
        <w:rPr>
          <w:rFonts w:hint="eastAsia" w:ascii="宋体" w:hAnsi="宋体"/>
          <w:color w:val="auto"/>
          <w:szCs w:val="22"/>
          <w:highlight w:val="none"/>
          <w:u w:val="single"/>
          <w:lang w:val="en-US" w:eastAsia="zh-CN"/>
        </w:rPr>
        <w:t>9</w:t>
      </w:r>
      <w:r>
        <w:rPr>
          <w:rFonts w:hint="eastAsia" w:ascii="宋体" w:hAnsi="宋体"/>
          <w:color w:val="auto"/>
          <w:szCs w:val="22"/>
          <w:highlight w:val="none"/>
          <w:u w:val="single"/>
        </w:rPr>
        <w:t xml:space="preserve"> </w:t>
      </w:r>
      <w:r>
        <w:rPr>
          <w:rFonts w:ascii="宋体" w:hAnsi="宋体"/>
          <w:color w:val="auto"/>
          <w:szCs w:val="22"/>
          <w:highlight w:val="none"/>
        </w:rPr>
        <w:t>时</w:t>
      </w:r>
      <w:r>
        <w:rPr>
          <w:rFonts w:hint="eastAsia" w:ascii="宋体" w:hAnsi="宋体"/>
          <w:color w:val="auto"/>
          <w:szCs w:val="22"/>
          <w:highlight w:val="none"/>
          <w:u w:val="single"/>
        </w:rPr>
        <w:t xml:space="preserve"> </w:t>
      </w:r>
      <w:r>
        <w:rPr>
          <w:rFonts w:hint="eastAsia" w:ascii="宋体" w:hAnsi="宋体"/>
          <w:color w:val="auto"/>
          <w:szCs w:val="22"/>
          <w:highlight w:val="none"/>
          <w:u w:val="single"/>
          <w:lang w:val="en-US" w:eastAsia="zh-CN"/>
        </w:rPr>
        <w:t>00</w:t>
      </w:r>
      <w:r>
        <w:rPr>
          <w:rFonts w:hint="eastAsia" w:ascii="宋体" w:hAnsi="宋体"/>
          <w:color w:val="auto"/>
          <w:szCs w:val="22"/>
          <w:highlight w:val="none"/>
          <w:u w:val="single"/>
        </w:rPr>
        <w:t xml:space="preserve">  </w:t>
      </w:r>
      <w:r>
        <w:rPr>
          <w:rFonts w:ascii="宋体" w:hAnsi="宋体"/>
          <w:color w:val="auto"/>
          <w:szCs w:val="22"/>
          <w:highlight w:val="none"/>
        </w:rPr>
        <w:t>分</w:t>
      </w:r>
      <w:r>
        <w:rPr>
          <w:rFonts w:hint="eastAsia" w:ascii="宋体" w:hAnsi="宋体"/>
          <w:color w:val="auto"/>
          <w:szCs w:val="22"/>
          <w:highlight w:val="none"/>
        </w:rPr>
        <w:t>。</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638" w:firstLineChars="304"/>
        <w:jc w:val="left"/>
        <w:textAlignment w:val="baseline"/>
        <w:rPr>
          <w:rFonts w:ascii="宋体" w:hAnsi="宋体"/>
          <w:color w:val="auto"/>
          <w:szCs w:val="22"/>
          <w:highlight w:val="none"/>
        </w:rPr>
      </w:pPr>
      <w:r>
        <w:rPr>
          <w:rFonts w:hint="eastAsia" w:ascii="宋体" w:hAnsi="宋体"/>
          <w:color w:val="auto"/>
          <w:szCs w:val="22"/>
          <w:highlight w:val="none"/>
        </w:rPr>
        <w:t>②递交投标文件</w:t>
      </w:r>
      <w:r>
        <w:rPr>
          <w:rFonts w:ascii="宋体" w:hAnsi="宋体"/>
          <w:color w:val="auto"/>
          <w:szCs w:val="22"/>
          <w:highlight w:val="none"/>
        </w:rPr>
        <w:t>地点为</w:t>
      </w:r>
      <w:r>
        <w:rPr>
          <w:rFonts w:hint="eastAsia" w:ascii="宋体" w:hAnsi="宋体"/>
          <w:color w:val="auto"/>
          <w:szCs w:val="22"/>
          <w:highlight w:val="none"/>
        </w:rPr>
        <w:t>：</w:t>
      </w:r>
      <w:r>
        <w:rPr>
          <w:rFonts w:hint="eastAsia" w:ascii="宋体" w:hAnsi="宋体"/>
          <w:color w:val="auto"/>
          <w:szCs w:val="22"/>
          <w:highlight w:val="none"/>
          <w:u w:val="single"/>
        </w:rPr>
        <w:t xml:space="preserve">   </w:t>
      </w:r>
      <w:r>
        <w:rPr>
          <w:rFonts w:hint="eastAsia" w:ascii="宋体" w:hAnsi="宋体" w:eastAsia="宋体" w:cs="宋体"/>
          <w:color w:val="auto"/>
          <w:sz w:val="21"/>
          <w:szCs w:val="21"/>
          <w:highlight w:val="none"/>
          <w:u w:val="single"/>
          <w:lang w:val="en-US" w:eastAsia="zh-CN"/>
        </w:rPr>
        <w:t>云上营家</w:t>
      </w:r>
      <w:r>
        <w:rPr>
          <w:rFonts w:hint="eastAsia" w:ascii="宋体" w:hAnsi="宋体" w:cs="宋体"/>
          <w:color w:val="auto"/>
          <w:sz w:val="21"/>
          <w:szCs w:val="21"/>
          <w:highlight w:val="none"/>
          <w:u w:val="single"/>
          <w:lang w:val="en-US" w:eastAsia="zh-CN"/>
        </w:rPr>
        <w:t>平台</w:t>
      </w:r>
      <w:r>
        <w:rPr>
          <w:rFonts w:hint="eastAsia" w:ascii="宋体" w:hAnsi="宋体"/>
          <w:color w:val="auto"/>
          <w:szCs w:val="22"/>
          <w:highlight w:val="none"/>
          <w:u w:val="single"/>
        </w:rPr>
        <w:t xml:space="preserve">   </w:t>
      </w:r>
      <w:r>
        <w:rPr>
          <w:rFonts w:hint="eastAsia" w:ascii="宋体" w:hAnsi="宋体"/>
          <w:color w:val="auto"/>
          <w:szCs w:val="22"/>
          <w:highlight w:val="none"/>
        </w:rPr>
        <w:t xml:space="preserve"> </w:t>
      </w:r>
      <w:r>
        <w:rPr>
          <w:rFonts w:ascii="宋体" w:hAnsi="宋体"/>
          <w:color w:val="auto"/>
          <w:szCs w:val="22"/>
          <w:highlight w:val="none"/>
        </w:rPr>
        <w:t>。</w:t>
      </w:r>
    </w:p>
    <w:p>
      <w:pPr>
        <w:keepNext w:val="0"/>
        <w:keepLines w:val="0"/>
        <w:pageBreakBefore w:val="0"/>
        <w:widowControl w:val="0"/>
        <w:kinsoku/>
        <w:wordWrap/>
        <w:overflowPunct/>
        <w:topLinePunct w:val="0"/>
        <w:autoSpaceDE/>
        <w:autoSpaceDN/>
        <w:bidi w:val="0"/>
        <w:adjustRightInd/>
        <w:spacing w:line="480" w:lineRule="exact"/>
        <w:ind w:left="0" w:leftChars="0" w:firstLine="638" w:firstLineChars="304"/>
        <w:rPr>
          <w:rFonts w:hint="eastAsia" w:ascii="宋体" w:hAnsi="宋体"/>
          <w:color w:val="auto"/>
          <w:szCs w:val="22"/>
          <w:highlight w:val="none"/>
        </w:rPr>
      </w:pPr>
      <w:r>
        <w:rPr>
          <w:rFonts w:hint="eastAsia" w:ascii="宋体" w:hAnsi="宋体"/>
          <w:color w:val="auto"/>
          <w:szCs w:val="22"/>
          <w:highlight w:val="none"/>
          <w:lang w:val="en-US" w:eastAsia="zh-CN"/>
        </w:rPr>
        <w:t>4）</w:t>
      </w:r>
      <w:r>
        <w:rPr>
          <w:rFonts w:hint="eastAsia" w:ascii="宋体" w:hAnsi="宋体"/>
          <w:color w:val="auto"/>
          <w:szCs w:val="22"/>
          <w:highlight w:val="none"/>
        </w:rPr>
        <w:t>递交投标文件时需提供资料</w:t>
      </w:r>
    </w:p>
    <w:p>
      <w:pPr>
        <w:keepNext w:val="0"/>
        <w:keepLines w:val="0"/>
        <w:pageBreakBefore w:val="0"/>
        <w:widowControl w:val="0"/>
        <w:kinsoku/>
        <w:wordWrap/>
        <w:overflowPunct/>
        <w:topLinePunct w:val="0"/>
        <w:autoSpaceDE/>
        <w:autoSpaceDN/>
        <w:bidi w:val="0"/>
        <w:adjustRightInd/>
        <w:spacing w:line="480" w:lineRule="exact"/>
        <w:ind w:left="0" w:leftChars="0" w:firstLine="638" w:firstLineChars="304"/>
        <w:rPr>
          <w:rFonts w:hint="eastAsia"/>
          <w:color w:val="auto"/>
          <w:highlight w:val="none"/>
          <w:u w:val="single"/>
        </w:rPr>
      </w:pPr>
      <w:r>
        <w:rPr>
          <w:rFonts w:hint="eastAsia"/>
          <w:color w:val="auto"/>
          <w:highlight w:val="none"/>
        </w:rPr>
        <w:t xml:space="preserve">  </w:t>
      </w:r>
      <w:r>
        <w:rPr>
          <w:rFonts w:hint="eastAsia"/>
          <w:color w:val="auto"/>
          <w:highlight w:val="none"/>
          <w:u w:val="single"/>
        </w:rPr>
        <w:t xml:space="preserve">      </w:t>
      </w:r>
      <w:r>
        <w:rPr>
          <w:rFonts w:hint="eastAsia"/>
          <w:color w:val="auto"/>
          <w:highlight w:val="none"/>
          <w:u w:val="single"/>
          <w:lang w:val="en-US" w:eastAsia="zh-CN"/>
        </w:rPr>
        <w:t>按招标文件要求的开标时间及时进行线上签到并确认报价</w:t>
      </w:r>
      <w:r>
        <w:rPr>
          <w:rFonts w:hint="eastAsia"/>
          <w:color w:val="auto"/>
          <w:highlight w:val="none"/>
          <w:u w:val="single"/>
        </w:rPr>
        <w:t xml:space="preserve">                                                                  </w:t>
      </w:r>
    </w:p>
    <w:p>
      <w:pPr>
        <w:keepNext w:val="0"/>
        <w:keepLines w:val="0"/>
        <w:pageBreakBefore w:val="0"/>
        <w:widowControl w:val="0"/>
        <w:numPr>
          <w:ilvl w:val="0"/>
          <w:numId w:val="0"/>
        </w:numPr>
        <w:kinsoku/>
        <w:wordWrap/>
        <w:overflowPunct/>
        <w:topLinePunct w:val="0"/>
        <w:autoSpaceDE/>
        <w:autoSpaceDN/>
        <w:bidi w:val="0"/>
        <w:adjustRightInd/>
        <w:spacing w:line="480" w:lineRule="exact"/>
        <w:ind w:leftChars="200" w:firstLine="210" w:firstLineChars="100"/>
        <w:jc w:val="left"/>
        <w:textAlignment w:val="baseline"/>
        <w:rPr>
          <w:rFonts w:hint="eastAsia"/>
          <w:color w:val="auto"/>
          <w:highlight w:val="none"/>
        </w:rPr>
      </w:pPr>
      <w:r>
        <w:rPr>
          <w:rFonts w:hint="eastAsia" w:ascii="宋体" w:hAnsi="宋体"/>
          <w:color w:val="auto"/>
          <w:szCs w:val="22"/>
          <w:highlight w:val="none"/>
          <w:lang w:val="en-US" w:eastAsia="zh-CN"/>
        </w:rPr>
        <w:t>5）</w:t>
      </w:r>
      <w:r>
        <w:rPr>
          <w:rFonts w:hint="eastAsia" w:ascii="宋体" w:hAnsi="宋体"/>
          <w:color w:val="auto"/>
          <w:szCs w:val="22"/>
          <w:highlight w:val="none"/>
        </w:rPr>
        <w:t>逾期送达的或者未送达指定地点的投标文件，招标人不予受理。</w:t>
      </w:r>
      <w:r>
        <w:rPr>
          <w:rFonts w:hint="eastAsia"/>
          <w:color w:val="auto"/>
          <w:highlight w:val="none"/>
        </w:rPr>
        <w:t xml:space="preserve"> </w:t>
      </w:r>
    </w:p>
    <w:p>
      <w:pPr>
        <w:keepNext w:val="0"/>
        <w:keepLines w:val="0"/>
        <w:pageBreakBefore w:val="0"/>
        <w:widowControl w:val="0"/>
        <w:kinsoku/>
        <w:wordWrap/>
        <w:overflowPunct/>
        <w:topLinePunct w:val="0"/>
        <w:autoSpaceDE/>
        <w:autoSpaceDN/>
        <w:bidi w:val="0"/>
        <w:adjustRightInd/>
        <w:spacing w:line="480" w:lineRule="exact"/>
        <w:ind w:firstLine="420" w:firstLineChars="200"/>
        <w:rPr>
          <w:rFonts w:hint="eastAsia"/>
          <w:color w:val="auto"/>
          <w:szCs w:val="21"/>
          <w:highlight w:val="none"/>
        </w:rPr>
      </w:pPr>
      <w:r>
        <w:rPr>
          <w:rFonts w:hint="eastAsia" w:ascii="宋体" w:hAnsi="宋体"/>
          <w:color w:val="auto"/>
          <w:szCs w:val="22"/>
          <w:highlight w:val="none"/>
        </w:rPr>
        <w:t>招 标 人：</w:t>
      </w:r>
      <w:r>
        <w:rPr>
          <w:rFonts w:hint="eastAsia" w:ascii="宋体" w:hAnsi="宋体"/>
          <w:color w:val="auto"/>
          <w:szCs w:val="22"/>
          <w:highlight w:val="none"/>
          <w:u w:val="single"/>
        </w:rPr>
        <w:t xml:space="preserve">  </w:t>
      </w:r>
      <w:r>
        <w:rPr>
          <w:rFonts w:hint="eastAsia" w:ascii="宋体" w:hAnsi="宋体"/>
          <w:color w:val="auto"/>
          <w:szCs w:val="21"/>
          <w:highlight w:val="none"/>
          <w:u w:val="single"/>
          <w:lang w:val="en-US" w:eastAsia="zh-CN"/>
        </w:rPr>
        <w:t>云南建投第十建设有限公司绥江分公司</w:t>
      </w:r>
      <w:r>
        <w:rPr>
          <w:rFonts w:hint="eastAsia" w:ascii="宋体" w:hAnsi="宋体"/>
          <w:color w:val="auto"/>
          <w:szCs w:val="22"/>
          <w:highlight w:val="none"/>
          <w:u w:val="single"/>
        </w:rPr>
        <w:t xml:space="preserve">     </w:t>
      </w:r>
    </w:p>
    <w:p>
      <w:pPr>
        <w:keepNext w:val="0"/>
        <w:keepLines w:val="0"/>
        <w:pageBreakBefore w:val="0"/>
        <w:widowControl w:val="0"/>
        <w:kinsoku/>
        <w:wordWrap/>
        <w:overflowPunct/>
        <w:topLinePunct w:val="0"/>
        <w:autoSpaceDE/>
        <w:autoSpaceDN/>
        <w:bidi w:val="0"/>
        <w:adjustRightInd/>
        <w:spacing w:line="480" w:lineRule="exact"/>
        <w:ind w:firstLine="420" w:firstLineChars="200"/>
        <w:rPr>
          <w:rFonts w:hint="eastAsia" w:ascii="宋体" w:hAnsi="宋体"/>
          <w:color w:val="auto"/>
          <w:szCs w:val="21"/>
          <w:highlight w:val="none"/>
          <w:u w:val="single"/>
        </w:rPr>
      </w:pPr>
      <w:r>
        <w:rPr>
          <w:rFonts w:hint="eastAsia"/>
          <w:color w:val="auto"/>
          <w:szCs w:val="21"/>
          <w:highlight w:val="none"/>
        </w:rPr>
        <w:t>联 系 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余孟璇</w:t>
      </w:r>
      <w:r>
        <w:rPr>
          <w:rFonts w:hint="eastAsia" w:ascii="宋体" w:hAnsi="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spacing w:line="48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联系电话：</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13577158330</w:t>
      </w:r>
      <w:r>
        <w:rPr>
          <w:rFonts w:hint="eastAsia" w:ascii="宋体" w:hAnsi="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spacing w:line="480" w:lineRule="exact"/>
        <w:ind w:firstLine="420" w:firstLineChars="200"/>
        <w:rPr>
          <w:rFonts w:hint="eastAsia" w:ascii="宋体" w:hAnsi="宋体"/>
          <w:color w:val="auto"/>
          <w:szCs w:val="21"/>
          <w:highlight w:val="none"/>
          <w:u w:val="single"/>
        </w:rPr>
      </w:pPr>
      <w:r>
        <w:rPr>
          <w:rFonts w:hint="eastAsia"/>
          <w:color w:val="auto"/>
          <w:highlight w:val="none"/>
        </w:rPr>
        <w:t>地    址：</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lang w:val="en-US" w:eastAsia="zh-CN"/>
        </w:rPr>
        <w:t>云南省昭通市绥江县中城镇农业村7组</w:t>
      </w:r>
      <w:r>
        <w:rPr>
          <w:rFonts w:hint="eastAsia" w:ascii="宋体" w:hAnsi="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spacing w:line="480" w:lineRule="exact"/>
        <w:ind w:firstLine="420" w:firstLineChars="200"/>
        <w:rPr>
          <w:rFonts w:hint="eastAsia" w:ascii="宋体" w:hAnsi="宋体"/>
          <w:color w:val="auto"/>
          <w:szCs w:val="21"/>
          <w:highlight w:val="none"/>
          <w:u w:val="single"/>
        </w:rPr>
      </w:pPr>
      <w:r>
        <w:rPr>
          <w:rFonts w:hint="eastAsia"/>
          <w:color w:val="auto"/>
          <w:highlight w:val="none"/>
        </w:rPr>
        <w:t>日    期：</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2023年6月</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21日</w:t>
      </w:r>
      <w:r>
        <w:rPr>
          <w:rFonts w:hint="eastAsia" w:ascii="宋体" w:hAnsi="宋体"/>
          <w:color w:val="auto"/>
          <w:szCs w:val="21"/>
          <w:highlight w:val="none"/>
          <w:u w:val="single"/>
        </w:rPr>
        <w:t xml:space="preserve">         </w:t>
      </w:r>
    </w:p>
    <w:p>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kern w:val="44"/>
          <w:sz w:val="32"/>
          <w:szCs w:val="32"/>
          <w:highlight w:val="none"/>
        </w:rPr>
        <w:br w:type="page"/>
      </w:r>
      <w:bookmarkStart w:id="17" w:name="_Toc28836"/>
      <w:r>
        <w:rPr>
          <w:rFonts w:hint="eastAsia" w:ascii="方正小标宋简体" w:hAnsi="方正小标宋简体" w:eastAsia="方正小标宋简体" w:cs="方正小标宋简体"/>
          <w:b/>
          <w:bCs/>
          <w:color w:val="auto"/>
          <w:kern w:val="44"/>
          <w:sz w:val="44"/>
          <w:szCs w:val="44"/>
          <w:highlight w:val="none"/>
        </w:rPr>
        <w:t>第二章  投标须知</w:t>
      </w:r>
      <w:bookmarkEnd w:id="17"/>
    </w:p>
    <w:p>
      <w:pPr>
        <w:jc w:val="center"/>
        <w:outlineLvl w:val="2"/>
        <w:rPr>
          <w:rFonts w:hint="eastAsia" w:ascii="宋体" w:hAnsi="宋体" w:eastAsia="宋体" w:cs="宋体"/>
          <w:b/>
          <w:bCs/>
          <w:color w:val="auto"/>
          <w:sz w:val="28"/>
          <w:szCs w:val="28"/>
          <w:highlight w:val="none"/>
        </w:rPr>
      </w:pPr>
      <w:bookmarkStart w:id="18" w:name="_Toc25107"/>
      <w:r>
        <w:rPr>
          <w:rFonts w:hint="eastAsia" w:ascii="宋体" w:hAnsi="宋体" w:eastAsia="宋体" w:cs="宋体"/>
          <w:b/>
          <w:bCs/>
          <w:color w:val="auto"/>
          <w:sz w:val="28"/>
          <w:szCs w:val="28"/>
          <w:highlight w:val="none"/>
        </w:rPr>
        <w:t>一、投标须知前附表</w:t>
      </w:r>
      <w:bookmarkEnd w:id="18"/>
    </w:p>
    <w:tbl>
      <w:tblPr>
        <w:tblStyle w:val="24"/>
        <w:tblW w:w="10049" w:type="dxa"/>
        <w:tblInd w:w="-1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2503"/>
        <w:gridCol w:w="6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41" w:type="dxa"/>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2503" w:type="dxa"/>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内    容</w:t>
            </w:r>
          </w:p>
        </w:tc>
        <w:tc>
          <w:tcPr>
            <w:tcW w:w="6505" w:type="dxa"/>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41"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50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6505"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color w:val="auto"/>
                <w:szCs w:val="21"/>
                <w:highlight w:val="none"/>
                <w:u w:val="single"/>
                <w:lang w:eastAsia="zh-CN"/>
              </w:rPr>
              <w:t>绥江县保障性租赁住房建设项目</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041"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50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w:t>
            </w:r>
          </w:p>
        </w:tc>
        <w:tc>
          <w:tcPr>
            <w:tcW w:w="6505" w:type="dxa"/>
            <w:vAlign w:val="center"/>
          </w:tcPr>
          <w:p>
            <w:pPr>
              <w:spacing w:line="360" w:lineRule="auto"/>
              <w:rPr>
                <w:color w:val="auto"/>
                <w:szCs w:val="21"/>
                <w:highlight w:val="none"/>
              </w:rPr>
            </w:pPr>
            <w:r>
              <w:rPr>
                <w:rFonts w:hint="eastAsia"/>
                <w:color w:val="auto"/>
                <w:szCs w:val="21"/>
                <w:highlight w:val="none"/>
              </w:rPr>
              <w:t>单位名称</w:t>
            </w:r>
            <w:r>
              <w:rPr>
                <w:color w:val="auto"/>
                <w:szCs w:val="21"/>
                <w:highlight w:val="non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lang w:val="en-US" w:eastAsia="zh-CN"/>
              </w:rPr>
              <w:t>云南建投第十建设有限公司绥江分公司</w:t>
            </w:r>
            <w:r>
              <w:rPr>
                <w:rFonts w:hint="eastAsia" w:ascii="宋体" w:hAnsi="宋体"/>
                <w:color w:val="auto"/>
                <w:szCs w:val="21"/>
                <w:highlight w:val="none"/>
                <w:u w:val="single"/>
              </w:rPr>
              <w:t xml:space="preserve">  </w:t>
            </w:r>
          </w:p>
          <w:p>
            <w:pPr>
              <w:spacing w:line="360" w:lineRule="auto"/>
              <w:rPr>
                <w:rFonts w:hint="eastAsia"/>
                <w:color w:val="auto"/>
                <w:szCs w:val="21"/>
                <w:highlight w:val="none"/>
              </w:rPr>
            </w:pPr>
            <w:r>
              <w:rPr>
                <w:rFonts w:hint="eastAsia"/>
                <w:color w:val="auto"/>
                <w:szCs w:val="21"/>
                <w:highlight w:val="none"/>
              </w:rPr>
              <w:t>地    址：</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lang w:val="en-US" w:eastAsia="zh-CN"/>
              </w:rPr>
              <w:t>云南省昭通市绥江县中城镇农业村7组</w:t>
            </w:r>
            <w:r>
              <w:rPr>
                <w:rFonts w:hint="eastAsia" w:ascii="宋体" w:hAnsi="宋体"/>
                <w:color w:val="auto"/>
                <w:szCs w:val="21"/>
                <w:highlight w:val="none"/>
                <w:u w:val="single"/>
              </w:rPr>
              <w:t xml:space="preserve">  </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 系 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余孟璇</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 xml:space="preserve">     </w:t>
            </w:r>
            <w:r>
              <w:rPr>
                <w:rFonts w:hint="eastAsia" w:ascii="宋体" w:hAnsi="宋体" w:eastAsia="宋体"/>
                <w:color w:val="auto"/>
                <w:szCs w:val="21"/>
                <w:highlight w:val="none"/>
                <w:u w:val="single"/>
                <w:lang w:val="en-US" w:eastAsia="zh-CN"/>
              </w:rPr>
              <w:t>13577158330</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1" w:hRule="exact"/>
        </w:trPr>
        <w:tc>
          <w:tcPr>
            <w:tcW w:w="1041"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50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工程概况</w:t>
            </w:r>
          </w:p>
        </w:tc>
        <w:tc>
          <w:tcPr>
            <w:tcW w:w="6505" w:type="dxa"/>
            <w:vAlign w:val="center"/>
          </w:tcPr>
          <w:p>
            <w:pPr>
              <w:spacing w:line="360" w:lineRule="auto"/>
              <w:rPr>
                <w:rFonts w:hint="eastAsia"/>
                <w:color w:val="auto"/>
                <w:szCs w:val="21"/>
                <w:highlight w:val="none"/>
              </w:rPr>
            </w:pPr>
            <w:r>
              <w:rPr>
                <w:rFonts w:hint="eastAsia"/>
                <w:color w:val="auto"/>
                <w:szCs w:val="21"/>
                <w:highlight w:val="none"/>
              </w:rPr>
              <w:t>工程名称：</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绥江县保障性租赁住房建设项目</w:t>
            </w:r>
            <w:r>
              <w:rPr>
                <w:rFonts w:hint="eastAsia" w:ascii="宋体" w:hAnsi="宋体"/>
                <w:color w:val="auto"/>
                <w:szCs w:val="21"/>
                <w:highlight w:val="none"/>
                <w:u w:val="single"/>
              </w:rPr>
              <w:t xml:space="preserve"> </w:t>
            </w:r>
          </w:p>
          <w:p>
            <w:pPr>
              <w:spacing w:line="360" w:lineRule="auto"/>
              <w:rPr>
                <w:rFonts w:hint="eastAsia"/>
                <w:color w:val="auto"/>
                <w:szCs w:val="21"/>
                <w:highlight w:val="none"/>
              </w:rPr>
            </w:pPr>
            <w:r>
              <w:rPr>
                <w:rFonts w:hint="eastAsia"/>
                <w:color w:val="auto"/>
                <w:szCs w:val="21"/>
                <w:highlight w:val="none"/>
              </w:rPr>
              <w:t>工程地址：</w:t>
            </w:r>
            <w:r>
              <w:rPr>
                <w:rFonts w:hint="eastAsia" w:ascii="宋体" w:hAnsi="宋体"/>
                <w:color w:val="auto"/>
                <w:szCs w:val="21"/>
                <w:highlight w:val="none"/>
                <w:u w:val="single"/>
              </w:rPr>
              <w:t xml:space="preserve">    绥江县兆佳坝      </w:t>
            </w:r>
          </w:p>
          <w:p>
            <w:pPr>
              <w:rPr>
                <w:rFonts w:hint="eastAsia" w:ascii="宋体" w:hAnsi="宋体" w:eastAsia="宋体" w:cs="宋体"/>
                <w:color w:val="auto"/>
                <w:szCs w:val="21"/>
                <w:highlight w:val="none"/>
              </w:rPr>
            </w:pPr>
            <w:r>
              <w:rPr>
                <w:rFonts w:hint="eastAsia"/>
                <w:color w:val="auto"/>
                <w:szCs w:val="21"/>
                <w:highlight w:val="none"/>
              </w:rPr>
              <w:t>建设规模：</w:t>
            </w:r>
            <w:r>
              <w:rPr>
                <w:rFonts w:hint="eastAsia" w:ascii="宋体" w:hAnsi="宋体"/>
                <w:color w:val="auto"/>
                <w:szCs w:val="22"/>
                <w:highlight w:val="none"/>
                <w:u w:val="single"/>
                <w:lang w:val="en-US" w:eastAsia="zh-CN"/>
              </w:rPr>
              <w:t>新建保障性住房501套，总建筑面积约 44367.57㎡，地上建筑37416.03㎡，其中：住宅34971.07㎡、社区商业731.60㎡、商业服务网点 318.60㎡、住宅配套697.38㎡（社区用房140.90㎡、物管用房155.16㎡、公厕 55.53㎡、架空层345.79㎡（不计容）），地下建筑6951.54㎡，其中：非人防面积469.05㎡、人防面积：6482.49㎡。发包人提供施工图所示范围土建及水电安装工程、室外附属、有关设计文件、设计说明及施工过程中下发的设计变更、图纸会审记录属于乙方的施工范围。具体工程内容详见工程量清单及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041"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50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招标范围及标段划分</w:t>
            </w:r>
          </w:p>
        </w:tc>
        <w:tc>
          <w:tcPr>
            <w:tcW w:w="6505" w:type="dxa"/>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招标范围：</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防水工程</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标段划分：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041"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50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质量要求</w:t>
            </w:r>
          </w:p>
        </w:tc>
        <w:tc>
          <w:tcPr>
            <w:tcW w:w="6505"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工程质量符合</w:t>
            </w:r>
            <w:r>
              <w:rPr>
                <w:rFonts w:hint="eastAsia" w:ascii="宋体" w:hAnsi="宋体" w:eastAsia="宋体" w:cs="宋体"/>
                <w:color w:val="auto"/>
                <w:szCs w:val="21"/>
                <w:highlight w:val="none"/>
                <w:u w:val="single"/>
                <w:lang w:val="en-US" w:eastAsia="zh-CN"/>
              </w:rPr>
              <w:t>图纸设计要求、</w:t>
            </w:r>
            <w:r>
              <w:rPr>
                <w:rFonts w:hint="eastAsia" w:ascii="宋体" w:hAnsi="宋体" w:eastAsia="宋体" w:cs="宋体"/>
                <w:color w:val="auto"/>
                <w:szCs w:val="21"/>
                <w:highlight w:val="none"/>
                <w:u w:val="single"/>
              </w:rPr>
              <w:t>国家、行业及地方现行的相关标准及规范一次性验收合格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041"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50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安全文明施工要求</w:t>
            </w:r>
          </w:p>
        </w:tc>
        <w:tc>
          <w:tcPr>
            <w:tcW w:w="6505"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u w:val="none"/>
                <w:lang w:val="en-US" w:eastAsia="zh-CN"/>
              </w:rPr>
              <w:t>按规范及招标人的策划要求及招标文件第二篇管理要求及合同相关内容执行</w:t>
            </w:r>
            <w:r>
              <w:rPr>
                <w:rFonts w:hint="eastAsia" w:ascii="宋体" w:hAnsi="宋体" w:cs="宋体"/>
                <w:color w:val="auto"/>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041"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50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工期要求</w:t>
            </w:r>
          </w:p>
        </w:tc>
        <w:tc>
          <w:tcPr>
            <w:tcW w:w="6505" w:type="dxa"/>
            <w:vAlign w:val="center"/>
          </w:tcPr>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开工日期：</w:t>
            </w:r>
            <w:r>
              <w:rPr>
                <w:rFonts w:hint="eastAsia" w:ascii="宋体" w:hAnsi="宋体" w:eastAsia="宋体" w:cs="宋体"/>
                <w:color w:val="auto"/>
                <w:szCs w:val="21"/>
                <w:highlight w:val="none"/>
                <w:u w:val="single"/>
              </w:rPr>
              <w:t xml:space="preserve">    </w:t>
            </w:r>
            <w:r>
              <w:rPr>
                <w:rFonts w:hint="eastAsia" w:ascii="宋体" w:hAnsi="宋体"/>
                <w:color w:val="auto"/>
                <w:szCs w:val="21"/>
                <w:highlight w:val="none"/>
                <w:u w:val="single"/>
                <w:lang w:val="en-US" w:eastAsia="zh-CN"/>
              </w:rPr>
              <w:t>以招标人要求为准</w:t>
            </w:r>
            <w:r>
              <w:rPr>
                <w:rFonts w:hint="eastAsia" w:ascii="宋体" w:hAnsi="宋体"/>
                <w:color w:val="auto"/>
                <w:szCs w:val="21"/>
                <w:highlight w:val="none"/>
                <w:u w:val="single"/>
              </w:rPr>
              <w:t xml:space="preserve"> </w:t>
            </w:r>
            <w:r>
              <w:rPr>
                <w:rFonts w:hint="eastAsia" w:ascii="宋体" w:hAnsi="宋体" w:eastAsia="宋体" w:cs="宋体"/>
                <w:color w:val="auto"/>
                <w:szCs w:val="21"/>
                <w:highlight w:val="none"/>
                <w:u w:val="single"/>
              </w:rPr>
              <w:t xml:space="preserve">   </w:t>
            </w:r>
          </w:p>
          <w:p>
            <w:pPr>
              <w:rPr>
                <w:rFonts w:hint="eastAsia" w:ascii="宋体" w:hAnsi="宋体" w:eastAsia="宋体" w:cs="宋体"/>
                <w:color w:val="auto"/>
                <w:highlight w:val="none"/>
                <w:u w:val="single"/>
              </w:rPr>
            </w:pPr>
            <w:r>
              <w:rPr>
                <w:rFonts w:hint="eastAsia" w:ascii="宋体" w:hAnsi="宋体" w:eastAsia="宋体" w:cs="宋体"/>
                <w:color w:val="auto"/>
                <w:highlight w:val="none"/>
              </w:rPr>
              <w:t>竣工日期：</w:t>
            </w:r>
            <w:r>
              <w:rPr>
                <w:rFonts w:hint="eastAsia" w:ascii="宋体" w:hAnsi="宋体" w:eastAsia="宋体" w:cs="宋体"/>
                <w:color w:val="auto"/>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color w:val="auto"/>
                <w:szCs w:val="21"/>
                <w:highlight w:val="none"/>
                <w:u w:val="single"/>
                <w:lang w:val="en-US" w:eastAsia="zh-CN"/>
              </w:rPr>
              <w:t>以招标人要求为准</w:t>
            </w:r>
            <w:r>
              <w:rPr>
                <w:rFonts w:hint="eastAsia" w:ascii="宋体" w:hAnsi="宋体" w:eastAsia="宋体" w:cs="宋体"/>
                <w:color w:val="auto"/>
                <w:highlight w:val="none"/>
                <w:u w:val="single"/>
              </w:rPr>
              <w:t xml:space="preserve">   </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总工期：  </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45</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041"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50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资金来源</w:t>
            </w:r>
          </w:p>
        </w:tc>
        <w:tc>
          <w:tcPr>
            <w:tcW w:w="6505" w:type="dxa"/>
            <w:vAlign w:val="center"/>
          </w:tcPr>
          <w:p>
            <w:pPr>
              <w:spacing w:line="360" w:lineRule="auto"/>
              <w:rPr>
                <w:rFonts w:hint="eastAsia" w:ascii="宋体" w:hAnsi="宋体" w:eastAsia="宋体" w:cs="宋体"/>
                <w:color w:val="auto"/>
                <w:szCs w:val="21"/>
                <w:highlight w:val="none"/>
                <w:u w:val="single"/>
              </w:rPr>
            </w:pPr>
            <w:r>
              <w:rPr>
                <w:rFonts w:hint="eastAsia" w:ascii="宋体" w:hAnsi="宋体" w:cs="宋体"/>
                <w:color w:val="auto"/>
                <w:szCs w:val="21"/>
                <w:highlight w:val="none"/>
                <w:u w:val="single"/>
                <w:lang w:val="en-US" w:eastAsia="zh-CN"/>
              </w:rPr>
              <w:t>建设单位拨付工程款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041"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250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投标人资质条件、能力和信誉</w:t>
            </w:r>
          </w:p>
        </w:tc>
        <w:tc>
          <w:tcPr>
            <w:tcW w:w="6505" w:type="dxa"/>
            <w:vAlign w:val="center"/>
          </w:tcPr>
          <w:p>
            <w:pPr>
              <w:pStyle w:val="10"/>
              <w:topLinePunct/>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1、资质条件：</w:t>
            </w:r>
            <w:r>
              <w:rPr>
                <w:rFonts w:hint="eastAsia" w:ascii="宋体" w:hAnsi="宋体" w:eastAsia="宋体" w:cs="宋体"/>
                <w:i/>
                <w:iCs/>
                <w:color w:val="auto"/>
                <w:sz w:val="21"/>
                <w:szCs w:val="21"/>
                <w:highlight w:val="none"/>
                <w:u w:val="single"/>
              </w:rPr>
              <w:t xml:space="preserve"> </w:t>
            </w:r>
            <w:r>
              <w:rPr>
                <w:rFonts w:hint="eastAsia" w:hAnsi="宋体" w:cs="宋体"/>
                <w:i w:val="0"/>
                <w:iCs w:val="0"/>
                <w:color w:val="auto"/>
                <w:sz w:val="21"/>
                <w:szCs w:val="21"/>
                <w:highlight w:val="none"/>
                <w:u w:val="single"/>
                <w:lang w:eastAsia="zh-CN"/>
              </w:rPr>
              <w:t>防水防腐保温工程专业承包贰级及以上</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iCs/>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10"/>
              <w:topLinePunct/>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2、类似工程业绩：</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有类似工程</w:t>
            </w:r>
            <w:r>
              <w:rPr>
                <w:rFonts w:hint="eastAsia" w:hAnsi="宋体" w:cs="宋体"/>
                <w:color w:val="auto"/>
                <w:sz w:val="21"/>
                <w:szCs w:val="21"/>
                <w:highlight w:val="none"/>
                <w:u w:val="single"/>
                <w:lang w:val="en-US" w:eastAsia="zh-CN"/>
              </w:rPr>
              <w:t>一</w:t>
            </w:r>
            <w:r>
              <w:rPr>
                <w:rFonts w:hint="eastAsia" w:ascii="宋体" w:hAnsi="宋体" w:eastAsia="宋体" w:cs="宋体"/>
                <w:color w:val="auto"/>
                <w:sz w:val="21"/>
                <w:szCs w:val="21"/>
                <w:highlight w:val="none"/>
                <w:u w:val="single"/>
                <w:lang w:eastAsia="zh-CN"/>
              </w:rPr>
              <w:t>个</w:t>
            </w:r>
            <w:r>
              <w:rPr>
                <w:rFonts w:hint="eastAsia" w:ascii="宋体" w:hAnsi="宋体" w:eastAsia="宋体" w:cs="宋体"/>
                <w:color w:val="auto"/>
                <w:sz w:val="21"/>
                <w:szCs w:val="21"/>
                <w:highlight w:val="none"/>
                <w:u w:val="single"/>
                <w:lang w:val="en-US" w:eastAsia="zh-CN"/>
              </w:rPr>
              <w:t>及</w:t>
            </w:r>
            <w:r>
              <w:rPr>
                <w:rFonts w:hint="eastAsia" w:ascii="宋体" w:hAnsi="宋体" w:eastAsia="宋体" w:cs="宋体"/>
                <w:color w:val="auto"/>
                <w:sz w:val="21"/>
                <w:szCs w:val="21"/>
                <w:highlight w:val="none"/>
                <w:u w:val="single"/>
                <w:lang w:eastAsia="zh-CN"/>
              </w:rPr>
              <w:t>以上施工经验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10"/>
              <w:topLinePunct/>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项目管理</w:t>
            </w:r>
            <w:r>
              <w:rPr>
                <w:rFonts w:hint="eastAsia" w:ascii="宋体" w:hAnsi="宋体" w:eastAsia="宋体" w:cs="宋体"/>
                <w:color w:val="auto"/>
                <w:sz w:val="21"/>
                <w:szCs w:val="21"/>
                <w:highlight w:val="none"/>
              </w:rPr>
              <w:t>团队要求：</w:t>
            </w:r>
          </w:p>
          <w:p>
            <w:pPr>
              <w:pStyle w:val="10"/>
              <w:topLinePunct/>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1）本项目项目经理执业资格证书要求：</w:t>
            </w:r>
            <w:r>
              <w:rPr>
                <w:rFonts w:hint="eastAsia" w:ascii="宋体" w:hAnsi="宋体" w:eastAsia="宋体" w:cs="宋体"/>
                <w:color w:val="auto"/>
                <w:sz w:val="21"/>
                <w:szCs w:val="21"/>
                <w:highlight w:val="none"/>
                <w:u w:val="single"/>
              </w:rPr>
              <w:t xml:space="preserve">  持有贰级建造师及相关工作年限不低于2年  </w:t>
            </w:r>
            <w:r>
              <w:rPr>
                <w:rFonts w:hint="eastAsia" w:ascii="宋体" w:hAnsi="宋体" w:eastAsia="宋体" w:cs="宋体"/>
                <w:color w:val="auto"/>
                <w:sz w:val="21"/>
                <w:szCs w:val="21"/>
                <w:highlight w:val="none"/>
              </w:rPr>
              <w:t>；</w:t>
            </w:r>
          </w:p>
          <w:p>
            <w:pPr>
              <w:pStyle w:val="10"/>
              <w:topLinePunct/>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2）本项目技术负责人执业资格证书要求：</w:t>
            </w:r>
            <w:r>
              <w:rPr>
                <w:rFonts w:hint="eastAsia" w:ascii="宋体" w:hAnsi="宋体" w:eastAsia="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pStyle w:val="10"/>
              <w:topLinePunct/>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3）人员配备最低要求：应满足招标文件第二章投标须知26.需要补充的其他内容“专业分包工程管理人员配备表”。</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4、其他要求： </w:t>
            </w:r>
          </w:p>
          <w:p>
            <w:pPr>
              <w:spacing w:line="360" w:lineRule="auto"/>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lang w:val="en-US" w:eastAsia="zh-CN"/>
              </w:rPr>
              <w:t>1</w:t>
            </w:r>
            <w:r>
              <w:rPr>
                <w:rFonts w:hint="eastAsia" w:ascii="宋体" w:hAnsi="宋体" w:eastAsia="宋体" w:cs="宋体"/>
                <w:color w:val="auto"/>
                <w:szCs w:val="22"/>
                <w:highlight w:val="none"/>
              </w:rPr>
              <w:t>）信誉要求：企业无不良行为记录，投标人未被列入“信用中国（www.creditchina.gov.cn）”、“信用中国（云南）（http://www.yncredit.gov.cn/）”失信被执行人、政府采购严重违法失信行为记录名单，提供查询结果原始页面的打印件或网页截图证明材料；投标人自行登录“中国裁判文书网（网址：http：//wenshu.court.gov.cn）”，截图检索结果（高级搜索，在全文检索处输入公司全称，点击案由-刑事案件-行贿），证明无行贿犯罪记录，提供网上截图。（查询时间为招标公告发布之日起至投标文件递交截止时间止）；</w:t>
            </w:r>
            <w:r>
              <w:rPr>
                <w:rFonts w:hint="eastAsia" w:ascii="宋体" w:hAnsi="宋体" w:eastAsia="宋体" w:cs="宋体"/>
                <w:color w:val="auto"/>
                <w:szCs w:val="22"/>
                <w:highlight w:val="none"/>
                <w:lang w:val="en-US" w:eastAsia="zh-CN"/>
              </w:rPr>
              <w:t>投标企业应</w:t>
            </w:r>
            <w:r>
              <w:rPr>
                <w:rFonts w:hint="eastAsia" w:ascii="宋体" w:hAnsi="宋体" w:eastAsia="宋体" w:cs="宋体"/>
                <w:color w:val="auto"/>
                <w:szCs w:val="22"/>
                <w:highlight w:val="none"/>
              </w:rPr>
              <w:t>出具无行贿犯罪行为情况承诺。</w:t>
            </w:r>
          </w:p>
          <w:p>
            <w:pPr>
              <w:spacing w:line="360" w:lineRule="auto"/>
              <w:rPr>
                <w:rFonts w:hint="eastAsia" w:ascii="宋体" w:hAnsi="宋体" w:eastAsia="宋体" w:cs="宋体"/>
                <w:b w:val="0"/>
                <w:bCs w:val="0"/>
                <w:color w:val="auto"/>
                <w:kern w:val="2"/>
                <w:sz w:val="21"/>
                <w:szCs w:val="22"/>
                <w:highlight w:val="none"/>
                <w:lang w:val="en-US" w:eastAsia="zh-CN" w:bidi="ar-SA"/>
              </w:rPr>
            </w:pPr>
            <w:r>
              <w:rPr>
                <w:rFonts w:hint="eastAsia" w:ascii="宋体" w:hAnsi="宋体" w:eastAsia="宋体" w:cs="宋体"/>
                <w:b w:val="0"/>
                <w:bCs w:val="0"/>
                <w:color w:val="auto"/>
                <w:kern w:val="2"/>
                <w:sz w:val="21"/>
                <w:szCs w:val="22"/>
                <w:highlight w:val="none"/>
                <w:lang w:val="en-US" w:eastAsia="zh-CN" w:bidi="ar-SA"/>
              </w:rPr>
              <w:t>2）提供行贿犯罪告知函。行贿犯罪告知函载明内容须包含企业法定代表人、项目经理、技术负责人无行贿犯罪记录。</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）提供虚假投标资料的，一经招标人核实将取消集团/公司供应商数据库入库资格，并不予退还投标保证金，涉及违法犯罪行为的，将移交相关部门。</w:t>
            </w:r>
          </w:p>
          <w:p>
            <w:pPr>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t>说明：业绩证明材料须是竣工验收证明及能够反映工程规模或金额的合同，如提供的材料与事实不符，后果由投标人自负。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041"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250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是否接受联合体投标</w:t>
            </w:r>
          </w:p>
        </w:tc>
        <w:tc>
          <w:tcPr>
            <w:tcW w:w="6505" w:type="dxa"/>
            <w:vAlign w:val="center"/>
          </w:tcPr>
          <w:p>
            <w:pP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41"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50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招标方式</w:t>
            </w:r>
          </w:p>
        </w:tc>
        <w:tc>
          <w:tcPr>
            <w:tcW w:w="6505" w:type="dxa"/>
            <w:vAlign w:val="center"/>
          </w:tcPr>
          <w:p>
            <w:pP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41"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250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tc>
        <w:tc>
          <w:tcPr>
            <w:tcW w:w="6505" w:type="dxa"/>
            <w:vAlign w:val="center"/>
          </w:tcPr>
          <w:p>
            <w:pPr>
              <w:spacing w:line="360" w:lineRule="auto"/>
              <w:rPr>
                <w:rFonts w:hint="default" w:ascii="宋体" w:hAnsi="宋体" w:eastAsia="宋体"/>
                <w:color w:val="auto"/>
                <w:szCs w:val="21"/>
                <w:highlight w:val="none"/>
                <w:u w:val="single"/>
                <w:lang w:val="en-US" w:eastAsia="zh-CN"/>
              </w:rPr>
            </w:pPr>
            <w:r>
              <w:rPr>
                <w:rFonts w:hint="eastAsia" w:ascii="宋体" w:hAnsi="宋体"/>
                <w:color w:val="auto"/>
                <w:szCs w:val="21"/>
                <w:highlight w:val="none"/>
                <w:lang w:val="en-US" w:eastAsia="zh-CN"/>
              </w:rPr>
              <w:t>1、招标金额</w:t>
            </w:r>
            <w:r>
              <w:rPr>
                <w:rFonts w:hint="eastAsia" w:ascii="宋体" w:hAnsi="宋体"/>
                <w:color w:val="auto"/>
                <w:szCs w:val="21"/>
                <w:highlight w:val="none"/>
                <w:u w:val="none"/>
                <w:lang w:val="en-US" w:eastAsia="zh-CN"/>
              </w:rPr>
              <w:t>（含税）：</w:t>
            </w:r>
            <w:r>
              <w:rPr>
                <w:rFonts w:hint="eastAsia" w:ascii="宋体" w:hAnsi="宋体"/>
                <w:color w:val="auto"/>
                <w:szCs w:val="21"/>
                <w:highlight w:val="none"/>
                <w:u w:val="single"/>
                <w:lang w:val="en-US" w:eastAsia="zh-CN"/>
              </w:rPr>
              <w:t xml:space="preserve">   1757806.65 元</w:t>
            </w:r>
            <w:r>
              <w:rPr>
                <w:rFonts w:hint="eastAsia" w:ascii="宋体" w:hAnsi="宋体"/>
                <w:color w:val="auto"/>
                <w:szCs w:val="21"/>
                <w:highlight w:val="none"/>
                <w:u w:val="none"/>
                <w:lang w:val="en-US" w:eastAsia="zh-CN"/>
              </w:rPr>
              <w:t>（详招标清单）</w:t>
            </w:r>
          </w:p>
          <w:p>
            <w:pPr>
              <w:spacing w:line="360" w:lineRule="auto"/>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、工程报价方式：</w:t>
            </w:r>
            <w:r>
              <w:rPr>
                <w:rFonts w:hint="eastAsia" w:ascii="宋体" w:hAnsi="宋体" w:eastAsia="宋体" w:cs="宋体"/>
                <w:color w:val="auto"/>
                <w:szCs w:val="21"/>
                <w:highlight w:val="none"/>
                <w:u w:val="single"/>
                <w:lang w:val="en-US" w:eastAsia="zh-CN"/>
              </w:rPr>
              <w:t>工程量</w:t>
            </w:r>
            <w:r>
              <w:rPr>
                <w:rFonts w:hint="eastAsia" w:ascii="宋体" w:hAnsi="宋体" w:eastAsia="宋体" w:cs="宋体"/>
                <w:color w:val="auto"/>
                <w:szCs w:val="21"/>
                <w:highlight w:val="none"/>
                <w:u w:val="single"/>
              </w:rPr>
              <w:t xml:space="preserve">清单报价 </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且最终不含税单价不因工程量的增减而变化，工程量与单价无关。</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、新增单价确定方式：</w:t>
            </w:r>
            <w:r>
              <w:rPr>
                <w:rFonts w:hint="eastAsia" w:ascii="宋体" w:hAnsi="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双方协商后，根据</w:t>
            </w:r>
            <w:r>
              <w:rPr>
                <w:rFonts w:hint="eastAsia" w:ascii="宋体" w:hAnsi="宋体" w:cs="宋体"/>
                <w:color w:val="auto"/>
                <w:szCs w:val="21"/>
                <w:highlight w:val="none"/>
                <w:u w:val="single"/>
                <w:lang w:val="en-US" w:eastAsia="zh-CN"/>
              </w:rPr>
              <w:t>招标人</w:t>
            </w:r>
            <w:r>
              <w:rPr>
                <w:rFonts w:hint="eastAsia" w:ascii="宋体" w:hAnsi="宋体" w:eastAsia="宋体" w:cs="宋体"/>
                <w:color w:val="auto"/>
                <w:szCs w:val="21"/>
                <w:highlight w:val="none"/>
                <w:u w:val="single"/>
                <w:lang w:val="en-US" w:eastAsia="zh-CN"/>
              </w:rPr>
              <w:t>管理要求执行</w:t>
            </w:r>
            <w:r>
              <w:rPr>
                <w:rFonts w:hint="eastAsia"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41"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250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6505" w:type="dxa"/>
            <w:vAlign w:val="center"/>
          </w:tcPr>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30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41"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250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w:t>
            </w:r>
          </w:p>
        </w:tc>
        <w:tc>
          <w:tcPr>
            <w:tcW w:w="6505" w:type="dxa"/>
            <w:vAlign w:val="center"/>
          </w:tcPr>
          <w:p>
            <w:pPr>
              <w:numPr>
                <w:ilvl w:val="0"/>
                <w:numId w:val="3"/>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本工程投标保证金为人民币</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万元整。</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2、保证金形式：</w:t>
            </w:r>
            <w:r>
              <w:rPr>
                <w:rFonts w:hint="eastAsia" w:ascii="宋体" w:hAnsi="宋体" w:eastAsia="宋体" w:cs="宋体"/>
                <w:color w:val="auto"/>
                <w:szCs w:val="21"/>
                <w:highlight w:val="none"/>
                <w:u w:val="single"/>
              </w:rPr>
              <w:t>转账</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银行保函</w:t>
            </w:r>
            <w:r>
              <w:rPr>
                <w:rFonts w:hint="eastAsia" w:ascii="宋体" w:hAnsi="宋体" w:eastAsia="宋体" w:cs="宋体"/>
                <w:color w:val="auto"/>
                <w:szCs w:val="21"/>
                <w:highlight w:val="none"/>
                <w:u w:val="single"/>
                <w:lang w:val="en-US" w:eastAsia="zh-CN"/>
              </w:rPr>
              <w:t>或保证保险</w:t>
            </w:r>
            <w:r>
              <w:rPr>
                <w:rFonts w:hint="eastAsia" w:ascii="宋体" w:hAnsi="宋体" w:eastAsia="宋体" w:cs="宋体"/>
                <w:color w:val="auto"/>
                <w:szCs w:val="21"/>
                <w:highlight w:val="none"/>
              </w:rPr>
              <w:t>。采用银行保函时，出具保函的银行级别：</w:t>
            </w:r>
            <w:r>
              <w:rPr>
                <w:rFonts w:hint="eastAsia" w:ascii="宋体" w:hAnsi="宋体" w:eastAsia="宋体" w:cs="宋体"/>
                <w:color w:val="auto"/>
                <w:szCs w:val="21"/>
                <w:highlight w:val="none"/>
                <w:u w:val="single"/>
              </w:rPr>
              <w:t>国有或商业股份制银行</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3、银行转账方式：</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20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时前由投标人基本账户打入招标人账号。 </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户  名：</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开户行：</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帐  号：</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41"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50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现场踏勘</w:t>
            </w:r>
          </w:p>
        </w:tc>
        <w:tc>
          <w:tcPr>
            <w:tcW w:w="6505" w:type="dxa"/>
            <w:vAlign w:val="center"/>
          </w:tcPr>
          <w:p>
            <w:pPr>
              <w:spacing w:line="360" w:lineRule="auto"/>
              <w:rPr>
                <w:rFonts w:hint="eastAsia" w:ascii="宋体" w:hAnsi="宋体"/>
                <w:color w:val="auto"/>
                <w:szCs w:val="21"/>
                <w:highlight w:val="none"/>
              </w:rPr>
            </w:pPr>
            <w:r>
              <w:rPr>
                <w:rFonts w:hint="eastAsia" w:ascii="宋体" w:hAnsi="宋体"/>
                <w:color w:val="auto"/>
                <w:szCs w:val="21"/>
                <w:highlight w:val="none"/>
              </w:rPr>
              <w:t>地  点：</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绥江县兆佳坝</w:t>
            </w:r>
            <w:r>
              <w:rPr>
                <w:rFonts w:hint="eastAsia" w:ascii="宋体" w:hAnsi="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color w:val="auto"/>
                <w:szCs w:val="21"/>
                <w:highlight w:val="none"/>
                <w:u w:val="single"/>
              </w:rPr>
              <w:t xml:space="preserve">  </w:t>
            </w:r>
          </w:p>
          <w:p>
            <w:pPr>
              <w:spacing w:line="360" w:lineRule="auto"/>
              <w:rPr>
                <w:rFonts w:hint="eastAsia"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沈永斌</w:t>
            </w:r>
            <w:r>
              <w:rPr>
                <w:rFonts w:hint="eastAsia" w:ascii="宋体" w:hAnsi="宋体"/>
                <w:color w:val="auto"/>
                <w:szCs w:val="21"/>
                <w:highlight w:val="none"/>
                <w:u w:val="single"/>
              </w:rPr>
              <w:t xml:space="preserve">         </w:t>
            </w:r>
          </w:p>
          <w:p>
            <w:pPr>
              <w:spacing w:line="360" w:lineRule="auto"/>
              <w:rPr>
                <w:rFonts w:hint="eastAsia" w:ascii="宋体" w:hAnsi="宋体" w:eastAsia="宋体" w:cs="宋体"/>
                <w:color w:val="auto"/>
                <w:szCs w:val="21"/>
                <w:highlight w:val="none"/>
              </w:rPr>
            </w:pPr>
            <w:r>
              <w:rPr>
                <w:rFonts w:hint="eastAsia" w:ascii="宋体" w:hAnsi="宋体"/>
                <w:color w:val="auto"/>
                <w:szCs w:val="21"/>
                <w:highlight w:val="none"/>
              </w:rPr>
              <w:t>电  话：</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15812073084</w:t>
            </w:r>
            <w:r>
              <w:rPr>
                <w:rFonts w:hint="eastAsia"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41"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250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投标人提出质疑的截止时间</w:t>
            </w:r>
          </w:p>
        </w:tc>
        <w:tc>
          <w:tcPr>
            <w:tcW w:w="6505" w:type="dxa"/>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2023年6月23日9点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41"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250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招标人书面澄清的时间</w:t>
            </w:r>
          </w:p>
        </w:tc>
        <w:tc>
          <w:tcPr>
            <w:tcW w:w="6505" w:type="dxa"/>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2023年6月24日9点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41"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250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投标文件份数及相关要求</w:t>
            </w:r>
          </w:p>
        </w:tc>
        <w:tc>
          <w:tcPr>
            <w:tcW w:w="6505" w:type="dxa"/>
            <w:vAlign w:val="center"/>
          </w:tcPr>
          <w:p>
            <w:pPr>
              <w:numPr>
                <w:ilvl w:val="0"/>
                <w:numId w:val="4"/>
              </w:numPr>
              <w:spacing w:line="360" w:lineRule="auto"/>
              <w:rPr>
                <w:rFonts w:hint="eastAsia"/>
                <w:color w:val="auto"/>
                <w:highlight w:val="none"/>
                <w:u w:val="single"/>
              </w:rPr>
            </w:pPr>
            <w:r>
              <w:rPr>
                <w:rFonts w:hint="eastAsia"/>
                <w:color w:val="auto"/>
                <w:highlight w:val="none"/>
              </w:rPr>
              <w:t>份数要求：</w:t>
            </w:r>
            <w:r>
              <w:rPr>
                <w:rFonts w:hint="eastAsia"/>
                <w:color w:val="auto"/>
                <w:highlight w:val="none"/>
                <w:u w:val="single"/>
              </w:rPr>
              <w:t xml:space="preserve">  </w:t>
            </w:r>
            <w:r>
              <w:rPr>
                <w:rFonts w:hint="eastAsia"/>
                <w:color w:val="auto"/>
                <w:highlight w:val="none"/>
                <w:u w:val="single"/>
                <w:lang w:val="en-US" w:eastAsia="zh-CN"/>
              </w:rPr>
              <w:t>1份PDF电子版扫描件，另还需递交一正一副纸质版至项目部，不一致的以线上电子版为准。</w:t>
            </w:r>
            <w:r>
              <w:rPr>
                <w:rFonts w:hint="eastAsia"/>
                <w:color w:val="auto"/>
                <w:highlight w:val="none"/>
                <w:u w:val="single"/>
              </w:rPr>
              <w:t xml:space="preserve">   </w:t>
            </w:r>
            <w:r>
              <w:rPr>
                <w:rFonts w:hint="eastAsia"/>
                <w:color w:val="auto"/>
                <w:highlight w:val="none"/>
                <w:u w:val="none"/>
              </w:rPr>
              <w:t xml:space="preserve">           </w:t>
            </w:r>
          </w:p>
          <w:p>
            <w:pPr>
              <w:numPr>
                <w:ilvl w:val="0"/>
                <w:numId w:val="4"/>
              </w:numPr>
              <w:spacing w:line="360" w:lineRule="auto"/>
              <w:rPr>
                <w:rFonts w:hint="eastAsia"/>
                <w:color w:val="auto"/>
                <w:highlight w:val="none"/>
              </w:rPr>
            </w:pPr>
            <w:r>
              <w:rPr>
                <w:rFonts w:hint="eastAsia"/>
                <w:color w:val="auto"/>
                <w:highlight w:val="none"/>
              </w:rPr>
              <w:t>签字和盖章要求：</w:t>
            </w:r>
            <w:r>
              <w:rPr>
                <w:rFonts w:hint="eastAsia"/>
                <w:color w:val="auto"/>
                <w:highlight w:val="none"/>
                <w:u w:val="single"/>
              </w:rPr>
              <w:t xml:space="preserve">     </w:t>
            </w:r>
            <w:r>
              <w:rPr>
                <w:rFonts w:hint="eastAsia"/>
                <w:color w:val="auto"/>
                <w:highlight w:val="none"/>
                <w:u w:val="single"/>
                <w:lang w:val="en-US" w:eastAsia="zh-CN"/>
              </w:rPr>
              <w:t>详</w:t>
            </w:r>
            <w:r>
              <w:rPr>
                <w:rFonts w:hint="eastAsia"/>
                <w:color w:val="auto"/>
                <w:highlight w:val="none"/>
                <w:u w:val="single"/>
              </w:rPr>
              <w:t xml:space="preserve">评标办法前附表        </w:t>
            </w:r>
            <w:r>
              <w:rPr>
                <w:rFonts w:hint="eastAsia"/>
                <w:color w:val="auto"/>
                <w:highlight w:val="none"/>
                <w:u w:val="none"/>
              </w:rPr>
              <w:t xml:space="preserve">         </w:t>
            </w:r>
            <w:r>
              <w:rPr>
                <w:rFonts w:hint="eastAsia"/>
                <w:color w:val="auto"/>
                <w:highlight w:val="none"/>
              </w:rPr>
              <w:t xml:space="preserve">                        </w:t>
            </w:r>
          </w:p>
          <w:p>
            <w:pPr>
              <w:numPr>
                <w:ilvl w:val="0"/>
                <w:numId w:val="4"/>
              </w:numPr>
              <w:spacing w:line="360" w:lineRule="auto"/>
              <w:rPr>
                <w:rFonts w:hint="eastAsia"/>
                <w:color w:val="auto"/>
                <w:highlight w:val="none"/>
                <w:u w:val="single"/>
              </w:rPr>
            </w:pPr>
            <w:r>
              <w:rPr>
                <w:rFonts w:hint="eastAsia"/>
                <w:color w:val="auto"/>
                <w:highlight w:val="none"/>
              </w:rPr>
              <w:t>装订及密封要求：</w:t>
            </w:r>
            <w:r>
              <w:rPr>
                <w:rFonts w:hint="eastAsia"/>
                <w:color w:val="auto"/>
                <w:highlight w:val="none"/>
                <w:u w:val="single"/>
              </w:rPr>
              <w:t xml:space="preserve">   </w:t>
            </w:r>
            <w:r>
              <w:rPr>
                <w:rFonts w:hint="eastAsia" w:ascii="宋体" w:hAnsi="宋体" w:eastAsia="宋体" w:cs="宋体"/>
                <w:b w:val="0"/>
                <w:i w:val="0"/>
                <w:caps w:val="0"/>
                <w:color w:val="auto"/>
                <w:spacing w:val="0"/>
                <w:w w:val="100"/>
                <w:sz w:val="21"/>
                <w:highlight w:val="none"/>
                <w:u w:val="single" w:color="000000"/>
                <w:lang w:val="en-US" w:eastAsia="zh-CN"/>
              </w:rPr>
              <w:t>密封无损</w:t>
            </w:r>
            <w:r>
              <w:rPr>
                <w:rFonts w:hint="eastAsia"/>
                <w:color w:val="auto"/>
                <w:highlight w:val="none"/>
                <w:u w:val="single"/>
              </w:rPr>
              <w:t xml:space="preserve">                  </w:t>
            </w:r>
          </w:p>
          <w:p>
            <w:pPr>
              <w:rPr>
                <w:color w:val="auto"/>
                <w:highlight w:val="none"/>
                <w:u w:val="single"/>
              </w:rPr>
            </w:pPr>
            <w:r>
              <w:rPr>
                <w:rFonts w:hint="eastAsia"/>
                <w:color w:val="auto"/>
                <w:highlight w:val="none"/>
              </w:rPr>
              <w:t>4、封套标记要求：</w:t>
            </w:r>
            <w:r>
              <w:rPr>
                <w:rFonts w:hint="eastAsia"/>
                <w:color w:val="auto"/>
                <w:highlight w:val="none"/>
                <w:u w:val="single"/>
              </w:rPr>
              <w:t xml:space="preserve">   </w:t>
            </w:r>
            <w:r>
              <w:rPr>
                <w:rFonts w:hint="eastAsia" w:ascii="Tahoma" w:hAnsi="Tahoma" w:eastAsia="Tahoma" w:cs="Tahoma"/>
                <w:b w:val="0"/>
                <w:i w:val="0"/>
                <w:iCs w:val="0"/>
                <w:caps w:val="0"/>
                <w:color w:val="auto"/>
                <w:spacing w:val="0"/>
                <w:w w:val="100"/>
                <w:sz w:val="21"/>
                <w:szCs w:val="21"/>
                <w:highlight w:val="none"/>
                <w:u w:val="single" w:color="000000"/>
                <w:shd w:val="clear" w:fill="FFFFFF"/>
              </w:rPr>
              <w:t>加盖投标人单位章</w:t>
            </w:r>
            <w:r>
              <w:rPr>
                <w:rFonts w:hint="eastAsia" w:ascii="Tahoma" w:hAnsi="Tahoma" w:eastAsia="宋体" w:cs="Tahoma"/>
                <w:b w:val="0"/>
                <w:i w:val="0"/>
                <w:iCs w:val="0"/>
                <w:caps w:val="0"/>
                <w:color w:val="auto"/>
                <w:spacing w:val="0"/>
                <w:w w:val="100"/>
                <w:sz w:val="21"/>
                <w:szCs w:val="21"/>
                <w:highlight w:val="none"/>
                <w:u w:val="single" w:color="000000"/>
                <w:shd w:val="clear" w:fill="FFFFFF"/>
                <w:lang w:eastAsia="zh-CN"/>
              </w:rPr>
              <w:t>，</w:t>
            </w:r>
            <w:r>
              <w:rPr>
                <w:rFonts w:hint="eastAsia" w:ascii="Tahoma" w:hAnsi="Tahoma" w:eastAsia="宋体" w:cs="Tahoma"/>
                <w:b w:val="0"/>
                <w:i w:val="0"/>
                <w:iCs w:val="0"/>
                <w:caps w:val="0"/>
                <w:color w:val="auto"/>
                <w:spacing w:val="0"/>
                <w:w w:val="100"/>
                <w:sz w:val="21"/>
                <w:szCs w:val="21"/>
                <w:highlight w:val="none"/>
                <w:u w:val="single" w:color="000000"/>
                <w:shd w:val="clear" w:fill="FFFFFF"/>
                <w:lang w:val="en-US" w:eastAsia="zh-CN"/>
              </w:rPr>
              <w:t>区分正本及副本</w:t>
            </w:r>
            <w:r>
              <w:rPr>
                <w:rFonts w:hint="eastAsia"/>
                <w:color w:val="auto"/>
                <w:highlight w:val="none"/>
                <w:u w:val="single"/>
              </w:rPr>
              <w:t xml:space="preserve">                   </w:t>
            </w:r>
          </w:p>
          <w:p>
            <w:pPr>
              <w:spacing w:line="360" w:lineRule="auto"/>
              <w:rPr>
                <w:rFonts w:hint="eastAsia" w:ascii="宋体" w:hAnsi="宋体" w:eastAsia="宋体" w:cs="宋体"/>
                <w:color w:val="auto"/>
                <w:highlight w:val="none"/>
              </w:rPr>
            </w:pPr>
            <w:r>
              <w:rPr>
                <w:rFonts w:hint="eastAsia"/>
                <w:color w:val="auto"/>
                <w:highlight w:val="none"/>
              </w:rPr>
              <w:t>5、其他要求：</w:t>
            </w:r>
            <w:r>
              <w:rPr>
                <w:rFonts w:hint="eastAsia"/>
                <w:color w:val="auto"/>
                <w:highlight w:val="none"/>
                <w:u w:val="single"/>
              </w:rPr>
              <w:t xml:space="preserve">                       </w:t>
            </w:r>
            <w:r>
              <w:rPr>
                <w:rFonts w:hint="eastAsia"/>
                <w:color w:val="auto"/>
                <w:highlight w:val="none"/>
                <w:u w:val="single"/>
                <w:lang w:val="en-US" w:eastAsia="zh-CN"/>
              </w:rPr>
              <w:t>/</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41"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250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投标文件递交地点及截止时间</w:t>
            </w:r>
          </w:p>
        </w:tc>
        <w:tc>
          <w:tcPr>
            <w:tcW w:w="6505" w:type="dxa"/>
            <w:vAlign w:val="center"/>
          </w:tcPr>
          <w:p>
            <w:pPr>
              <w:spacing w:line="360" w:lineRule="auto"/>
              <w:rPr>
                <w:rFonts w:hint="eastAsia" w:ascii="宋体" w:hAnsi="宋体" w:eastAsia="宋体" w:cs="宋体"/>
                <w:color w:val="auto"/>
                <w:sz w:val="21"/>
                <w:szCs w:val="21"/>
                <w:highlight w:val="none"/>
                <w:u w:val="single"/>
                <w:lang w:val="en-US" w:eastAsia="zh-CN"/>
              </w:rPr>
            </w:pPr>
            <w:r>
              <w:rPr>
                <w:rFonts w:hint="eastAsia" w:ascii="宋体" w:hAnsi="宋体"/>
                <w:color w:val="auto"/>
                <w:szCs w:val="21"/>
                <w:highlight w:val="none"/>
              </w:rPr>
              <w:t>递交地点：</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线上：</w:t>
            </w:r>
            <w:r>
              <w:rPr>
                <w:rFonts w:hint="eastAsia" w:ascii="宋体" w:hAnsi="宋体" w:eastAsia="宋体" w:cs="宋体"/>
                <w:color w:val="auto"/>
                <w:sz w:val="21"/>
                <w:szCs w:val="21"/>
                <w:highlight w:val="none"/>
                <w:u w:val="single"/>
                <w:lang w:val="en-US" w:eastAsia="zh-CN"/>
              </w:rPr>
              <w:t>云上营家线上</w:t>
            </w:r>
            <w:r>
              <w:rPr>
                <w:rFonts w:hint="eastAsia" w:ascii="宋体" w:hAnsi="宋体" w:eastAsia="宋体" w:cs="宋体"/>
                <w:color w:val="auto"/>
                <w:sz w:val="21"/>
                <w:szCs w:val="21"/>
                <w:highlight w:val="none"/>
                <w:u w:val="single"/>
              </w:rPr>
              <w:t>（地址：</w:t>
            </w:r>
            <w:r>
              <w:rPr>
                <w:rFonts w:hint="eastAsia" w:ascii="宋体" w:hAnsi="宋体" w:eastAsia="宋体" w:cs="宋体"/>
                <w:color w:val="auto"/>
                <w:sz w:val="21"/>
                <w:szCs w:val="21"/>
                <w:highlight w:val="none"/>
                <w:u w:val="single"/>
                <w:lang w:val="en-US" w:eastAsia="zh-CN"/>
              </w:rPr>
              <w:fldChar w:fldCharType="begin"/>
            </w:r>
            <w:r>
              <w:rPr>
                <w:rFonts w:hint="eastAsia" w:ascii="宋体" w:hAnsi="宋体" w:eastAsia="宋体" w:cs="宋体"/>
                <w:color w:val="auto"/>
                <w:sz w:val="21"/>
                <w:szCs w:val="21"/>
                <w:highlight w:val="none"/>
                <w:u w:val="single"/>
                <w:lang w:val="en-US" w:eastAsia="zh-CN"/>
              </w:rPr>
              <w:instrText xml:space="preserve"> HYPERLINK "https://www.inja.com线上获取招标文件。" </w:instrText>
            </w:r>
            <w:r>
              <w:rPr>
                <w:rFonts w:hint="eastAsia" w:ascii="宋体" w:hAnsi="宋体" w:eastAsia="宋体" w:cs="宋体"/>
                <w:color w:val="auto"/>
                <w:sz w:val="21"/>
                <w:szCs w:val="21"/>
                <w:highlight w:val="none"/>
                <w:u w:val="single"/>
                <w:lang w:val="en-US" w:eastAsia="zh-CN"/>
              </w:rPr>
              <w:fldChar w:fldCharType="separate"/>
            </w:r>
            <w:r>
              <w:rPr>
                <w:rStyle w:val="27"/>
                <w:rFonts w:hint="eastAsia" w:ascii="宋体" w:hAnsi="宋体" w:eastAsia="宋体" w:cs="宋体"/>
                <w:color w:val="auto"/>
                <w:sz w:val="21"/>
                <w:szCs w:val="21"/>
                <w:highlight w:val="none"/>
                <w:lang w:val="en-US" w:eastAsia="zh-CN"/>
              </w:rPr>
              <w:t>https://www.inja.com</w:t>
            </w:r>
            <w:r>
              <w:rPr>
                <w:rStyle w:val="27"/>
                <w:rFonts w:hint="eastAsia" w:ascii="宋体" w:hAnsi="宋体" w:cs="宋体"/>
                <w:color w:val="auto"/>
                <w:sz w:val="21"/>
                <w:szCs w:val="21"/>
                <w:highlight w:val="none"/>
                <w:lang w:val="en-US" w:eastAsia="zh-CN"/>
              </w:rPr>
              <w:t>线上获取招标文件。</w:t>
            </w:r>
            <w:r>
              <w:rPr>
                <w:rFonts w:hint="eastAsia" w:ascii="宋体" w:hAnsi="宋体" w:eastAsia="宋体" w:cs="宋体"/>
                <w:color w:val="auto"/>
                <w:sz w:val="21"/>
                <w:szCs w:val="21"/>
                <w:highlight w:val="none"/>
                <w:u w:val="single"/>
                <w:lang w:val="en-US" w:eastAsia="zh-CN"/>
              </w:rPr>
              <w:fldChar w:fldCharType="end"/>
            </w:r>
          </w:p>
          <w:p>
            <w:pPr>
              <w:spacing w:line="360" w:lineRule="auto"/>
              <w:rPr>
                <w:rFonts w:hint="eastAsia" w:ascii="宋体" w:hAnsi="宋体"/>
                <w:color w:val="auto"/>
                <w:szCs w:val="21"/>
                <w:highlight w:val="none"/>
              </w:rPr>
            </w:pPr>
            <w:r>
              <w:rPr>
                <w:rFonts w:hint="eastAsia" w:ascii="宋体" w:hAnsi="宋体"/>
                <w:color w:val="auto"/>
                <w:szCs w:val="21"/>
                <w:highlight w:val="none"/>
              </w:rPr>
              <w:t>截止时间：</w:t>
            </w:r>
            <w:r>
              <w:rPr>
                <w:rFonts w:hint="eastAsia" w:ascii="宋体" w:hAnsi="宋体"/>
                <w:color w:val="auto"/>
                <w:szCs w:val="21"/>
                <w:highlight w:val="none"/>
              </w:rPr>
              <w:tab/>
            </w:r>
            <w:r>
              <w:rPr>
                <w:rFonts w:hint="eastAsia" w:ascii="宋体" w:hAnsi="宋体"/>
                <w:color w:val="auto"/>
                <w:szCs w:val="21"/>
                <w:highlight w:val="none"/>
                <w:u w:val="single"/>
              </w:rPr>
              <w:t>20</w:t>
            </w:r>
            <w:r>
              <w:rPr>
                <w:rFonts w:hint="eastAsia" w:ascii="宋体" w:hAnsi="宋体"/>
                <w:color w:val="auto"/>
                <w:szCs w:val="21"/>
                <w:highlight w:val="none"/>
                <w:u w:val="single"/>
                <w:lang w:val="en-US" w:eastAsia="zh-CN"/>
              </w:rPr>
              <w:t>23</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6</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27</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9</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时 （北京时间）</w:t>
            </w:r>
          </w:p>
          <w:p>
            <w:pPr>
              <w:spacing w:line="360" w:lineRule="auto"/>
              <w:rPr>
                <w:rFonts w:hint="eastAsia" w:ascii="宋体" w:hAnsi="宋体" w:eastAsia="宋体" w:cs="宋体"/>
                <w:color w:val="auto"/>
                <w:szCs w:val="21"/>
                <w:highlight w:val="none"/>
              </w:rPr>
            </w:pPr>
            <w:r>
              <w:rPr>
                <w:rFonts w:hint="eastAsia" w:ascii="宋体" w:hAnsi="宋体"/>
                <w:color w:val="auto"/>
                <w:szCs w:val="21"/>
                <w:highlight w:val="none"/>
              </w:rPr>
              <w:t>备注：逾期送达的投标文件将被拒绝并原封退回投标人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41"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2503" w:type="dxa"/>
            <w:vAlign w:val="center"/>
          </w:tcPr>
          <w:p>
            <w:pPr>
              <w:spacing w:line="360" w:lineRule="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开标时间</w:t>
            </w:r>
            <w:r>
              <w:rPr>
                <w:rFonts w:hint="eastAsia" w:ascii="宋体" w:hAnsi="宋体" w:cs="宋体"/>
                <w:color w:val="auto"/>
                <w:highlight w:val="none"/>
                <w:lang w:eastAsia="zh-CN"/>
              </w:rPr>
              <w:t>、</w:t>
            </w:r>
            <w:r>
              <w:rPr>
                <w:rFonts w:hint="eastAsia" w:ascii="宋体" w:hAnsi="宋体" w:eastAsia="宋体" w:cs="宋体"/>
                <w:color w:val="auto"/>
                <w:highlight w:val="none"/>
              </w:rPr>
              <w:t>地点</w:t>
            </w:r>
            <w:r>
              <w:rPr>
                <w:rFonts w:hint="eastAsia" w:ascii="宋体" w:hAnsi="宋体" w:cs="宋体"/>
                <w:color w:val="auto"/>
                <w:highlight w:val="none"/>
                <w:lang w:val="en-US" w:eastAsia="zh-CN"/>
              </w:rPr>
              <w:t>及疫情防控要求</w:t>
            </w:r>
          </w:p>
        </w:tc>
        <w:tc>
          <w:tcPr>
            <w:tcW w:w="6505" w:type="dxa"/>
            <w:vAlign w:val="center"/>
          </w:tcPr>
          <w:p>
            <w:pPr>
              <w:spacing w:line="360" w:lineRule="auto"/>
              <w:rPr>
                <w:rFonts w:hint="eastAsia"/>
                <w:color w:val="auto"/>
                <w:highlight w:val="none"/>
              </w:rPr>
            </w:pPr>
            <w:r>
              <w:rPr>
                <w:rFonts w:hint="eastAsia"/>
                <w:color w:val="auto"/>
                <w:highlight w:val="none"/>
              </w:rPr>
              <w:t>开标时间：同递交投标文件截止时间</w:t>
            </w:r>
          </w:p>
          <w:p>
            <w:pPr>
              <w:spacing w:line="360" w:lineRule="auto"/>
              <w:rPr>
                <w:rFonts w:hint="eastAsia"/>
                <w:color w:val="auto"/>
                <w:highlight w:val="none"/>
              </w:rPr>
            </w:pPr>
            <w:r>
              <w:rPr>
                <w:rFonts w:hint="eastAsia"/>
                <w:color w:val="auto"/>
                <w:highlight w:val="none"/>
              </w:rPr>
              <w:t>开标地点：同递交投标文件</w:t>
            </w:r>
          </w:p>
          <w:p>
            <w:pPr>
              <w:spacing w:line="360" w:lineRule="auto"/>
              <w:rPr>
                <w:rFonts w:hint="eastAsia" w:ascii="宋体" w:hAnsi="宋体" w:cs="宋体"/>
                <w:color w:val="auto"/>
                <w:szCs w:val="21"/>
                <w:highlight w:val="none"/>
                <w:u w:val="none"/>
                <w:lang w:val="en-US" w:eastAsia="zh-CN"/>
              </w:rPr>
            </w:pPr>
            <w:r>
              <w:rPr>
                <w:rFonts w:hint="eastAsia"/>
                <w:color w:val="auto"/>
                <w:highlight w:val="none"/>
                <w:lang w:val="en-US" w:eastAsia="zh-CN"/>
              </w:rPr>
              <w:t>线下开标</w:t>
            </w:r>
            <w:r>
              <w:rPr>
                <w:rFonts w:hint="eastAsia" w:ascii="宋体" w:hAnsi="宋体" w:cs="宋体"/>
                <w:color w:val="auto"/>
                <w:szCs w:val="21"/>
                <w:highlight w:val="none"/>
                <w:u w:val="none"/>
                <w:lang w:val="en-US" w:eastAsia="zh-CN"/>
              </w:rPr>
              <w:t>疫情防控要求：</w:t>
            </w:r>
          </w:p>
          <w:p>
            <w:pPr>
              <w:pStyle w:val="11"/>
              <w:rPr>
                <w:rFonts w:hint="eastAsia" w:ascii="宋体" w:hAnsi="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1、每个投标人安排1名投标代表人进入开标现场，开标结束后投标代表人先行离场，最大限度减少人员聚集；</w:t>
            </w:r>
          </w:p>
          <w:p>
            <w:pPr>
              <w:pStyle w:val="11"/>
              <w:rPr>
                <w:rFonts w:hint="eastAsia" w:ascii="宋体" w:hAnsi="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2、所有参加开标人员从A座进入春溪大厦12楼1226会议室，并全程佩戴口罩，服从春溪大厦物业疫情防控管理，进入开标现场出示健康码、测量体温，不符合者(体温超过37.3℃、健康码不是绿码的人员)一律不准入场；</w:t>
            </w:r>
          </w:p>
          <w:p>
            <w:pPr>
              <w:pStyle w:val="11"/>
              <w:rPr>
                <w:rFonts w:hint="eastAsia" w:ascii="宋体" w:hAnsi="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3、进入开标现场人员应在相应的区域开展投标工作，不得进入无关区域，并保持人员间隔距离，分散入座；</w:t>
            </w:r>
          </w:p>
          <w:p>
            <w:pPr>
              <w:pStyle w:val="11"/>
              <w:rPr>
                <w:rFonts w:hint="default" w:eastAsia="宋体"/>
                <w:color w:val="auto"/>
                <w:highlight w:val="none"/>
                <w:lang w:val="en-US" w:eastAsia="zh-CN"/>
              </w:rPr>
            </w:pPr>
            <w:r>
              <w:rPr>
                <w:rFonts w:hint="eastAsia" w:ascii="宋体" w:hAnsi="宋体" w:cs="宋体"/>
                <w:color w:val="auto"/>
                <w:szCs w:val="21"/>
                <w:highlight w:val="none"/>
                <w:u w:val="single"/>
                <w:lang w:val="en-US" w:eastAsia="zh-CN"/>
              </w:rPr>
              <w:t>4、答疑时，需书面进行问题澄清、答复的，招标人与投标人以电子邮件方式进行，原件资料采取邮寄方式。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41"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2503" w:type="dxa"/>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开标程序</w:t>
            </w:r>
          </w:p>
        </w:tc>
        <w:tc>
          <w:tcPr>
            <w:tcW w:w="6505" w:type="dxa"/>
            <w:vAlign w:val="center"/>
          </w:tcPr>
          <w:p>
            <w:pPr>
              <w:spacing w:line="360" w:lineRule="auto"/>
              <w:rPr>
                <w:rFonts w:hint="eastAsia"/>
                <w:color w:val="auto"/>
                <w:highlight w:val="none"/>
                <w:u w:val="single"/>
                <w:lang w:val="en-US" w:eastAsia="zh-CN"/>
              </w:rPr>
            </w:pPr>
            <w:r>
              <w:rPr>
                <w:rFonts w:hint="eastAsia" w:ascii="宋体" w:hAnsi="宋体"/>
                <w:color w:val="auto"/>
                <w:highlight w:val="none"/>
              </w:rPr>
              <w:t>密封情况宣布：</w:t>
            </w:r>
            <w:r>
              <w:rPr>
                <w:rFonts w:hint="eastAsia" w:ascii="宋体" w:hAnsi="宋体"/>
                <w:color w:val="auto"/>
                <w:highlight w:val="none"/>
                <w:u w:val="single"/>
                <w:lang w:val="en-US" w:eastAsia="zh-CN"/>
              </w:rPr>
              <w:t>线上：</w:t>
            </w:r>
            <w:r>
              <w:rPr>
                <w:rFonts w:hint="eastAsia"/>
                <w:color w:val="auto"/>
                <w:highlight w:val="none"/>
                <w:u w:val="single"/>
                <w:lang w:val="en-US" w:eastAsia="zh-CN"/>
              </w:rPr>
              <w:t>云上营家线上开标；</w:t>
            </w:r>
          </w:p>
          <w:p>
            <w:pPr>
              <w:spacing w:line="360" w:lineRule="auto"/>
              <w:rPr>
                <w:rFonts w:hint="eastAsia" w:ascii="宋体" w:hAnsi="宋体" w:eastAsia="宋体" w:cs="宋体"/>
                <w:color w:val="auto"/>
                <w:highlight w:val="none"/>
              </w:rPr>
            </w:pPr>
            <w:r>
              <w:rPr>
                <w:rFonts w:hint="eastAsia"/>
                <w:color w:val="auto"/>
                <w:highlight w:val="none"/>
              </w:rPr>
              <w:t>开标顺序：</w:t>
            </w:r>
            <w:r>
              <w:rPr>
                <w:rFonts w:hint="eastAsia"/>
                <w:color w:val="auto"/>
                <w:highlight w:val="none"/>
                <w:u w:val="single"/>
                <w:lang w:val="en-US" w:eastAsia="zh-CN"/>
              </w:rPr>
              <w:t>线上：云上营家线上开标；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41" w:type="dxa"/>
            <w:vAlign w:val="center"/>
          </w:tcPr>
          <w:p>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2503" w:type="dxa"/>
            <w:vAlign w:val="center"/>
          </w:tcPr>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评标委员会的组建</w:t>
            </w:r>
          </w:p>
        </w:tc>
        <w:tc>
          <w:tcPr>
            <w:tcW w:w="6505" w:type="dxa"/>
            <w:vAlign w:val="center"/>
          </w:tcPr>
          <w:p>
            <w:pPr>
              <w:spacing w:line="276" w:lineRule="auto"/>
              <w:rPr>
                <w:color w:val="auto"/>
                <w:highlight w:val="none"/>
              </w:rPr>
            </w:pPr>
            <w:r>
              <w:rPr>
                <w:rFonts w:hint="eastAsia"/>
                <w:color w:val="auto"/>
                <w:highlight w:val="none"/>
              </w:rPr>
              <w:t>评标委员会人数：</w:t>
            </w:r>
            <w:r>
              <w:rPr>
                <w:rFonts w:hint="eastAsia"/>
                <w:color w:val="auto"/>
                <w:highlight w:val="none"/>
                <w:lang w:val="en-US" w:eastAsia="zh-CN"/>
              </w:rPr>
              <w:t xml:space="preserve"> </w:t>
            </w:r>
            <w:r>
              <w:rPr>
                <w:rFonts w:hint="eastAsia"/>
                <w:color w:val="auto"/>
                <w:highlight w:val="none"/>
                <w:u w:val="single"/>
                <w:lang w:val="en-US" w:eastAsia="zh-CN"/>
              </w:rPr>
              <w:t xml:space="preserve">     5人以上单数      </w:t>
            </w:r>
            <w:r>
              <w:rPr>
                <w:rFonts w:hint="eastAsia"/>
                <w:color w:val="auto"/>
                <w:highlight w:val="none"/>
              </w:rPr>
              <w:t xml:space="preserve">                   </w:t>
            </w:r>
          </w:p>
          <w:p>
            <w:pPr>
              <w:spacing w:line="276" w:lineRule="auto"/>
              <w:rPr>
                <w:rFonts w:hint="eastAsia"/>
                <w:color w:val="auto"/>
                <w:highlight w:val="none"/>
              </w:rPr>
            </w:pPr>
            <w:r>
              <w:rPr>
                <w:rFonts w:hint="eastAsia"/>
                <w:color w:val="auto"/>
                <w:highlight w:val="none"/>
              </w:rPr>
              <w:t>评标专家确定方式：</w:t>
            </w:r>
            <w:r>
              <w:rPr>
                <w:rFonts w:hint="eastAsia"/>
                <w:color w:val="auto"/>
                <w:highlight w:val="none"/>
                <w:u w:val="single"/>
                <w:lang w:val="en-US" w:eastAsia="zh-CN"/>
              </w:rPr>
              <w:t xml:space="preserve">   招标人专家库中抽取 </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                </w:t>
            </w:r>
          </w:p>
          <w:p>
            <w:pPr>
              <w:pStyle w:val="11"/>
              <w:rPr>
                <w:rFonts w:hint="eastAsia" w:ascii="宋体" w:hAnsi="宋体"/>
                <w:color w:val="auto"/>
                <w:szCs w:val="21"/>
                <w:highlight w:val="none"/>
                <w:u w:val="single"/>
                <w:lang w:val="en-US" w:eastAsia="zh-CN"/>
              </w:rPr>
            </w:pPr>
            <w:r>
              <w:rPr>
                <w:rFonts w:hint="eastAsia" w:ascii="宋体" w:hAnsi="宋体"/>
                <w:color w:val="auto"/>
                <w:szCs w:val="21"/>
                <w:highlight w:val="none"/>
                <w:u w:val="none"/>
                <w:lang w:val="en-US" w:eastAsia="zh-CN"/>
              </w:rPr>
              <w:t>评标办法：</w:t>
            </w:r>
            <w:r>
              <w:rPr>
                <w:rFonts w:hint="eastAsia" w:ascii="宋体" w:hAnsi="宋体"/>
                <w:color w:val="auto"/>
                <w:szCs w:val="21"/>
                <w:highlight w:val="none"/>
                <w:u w:val="single"/>
                <w:lang w:val="en-US" w:eastAsia="zh-CN"/>
              </w:rPr>
              <w:t xml:space="preserve">    综合评估法              </w:t>
            </w:r>
          </w:p>
          <w:p>
            <w:pPr>
              <w:pStyle w:val="11"/>
              <w:rPr>
                <w:rFonts w:hint="eastAsia" w:ascii="宋体" w:hAnsi="宋体"/>
                <w:color w:val="auto"/>
                <w:szCs w:val="21"/>
                <w:highlight w:val="none"/>
                <w:u w:val="single"/>
                <w:lang w:val="en-US" w:eastAsia="zh-CN"/>
              </w:rPr>
            </w:pPr>
            <w:r>
              <w:rPr>
                <w:rFonts w:hint="eastAsia" w:ascii="宋体" w:hAnsi="宋体"/>
                <w:color w:val="auto"/>
                <w:szCs w:val="21"/>
                <w:highlight w:val="none"/>
                <w:u w:val="none"/>
                <w:lang w:val="en-US" w:eastAsia="zh-CN"/>
              </w:rPr>
              <w:t>监督人：</w:t>
            </w:r>
            <w:r>
              <w:rPr>
                <w:rFonts w:hint="eastAsia" w:ascii="宋体" w:hAnsi="宋体"/>
                <w:color w:val="auto"/>
                <w:szCs w:val="21"/>
                <w:highlight w:val="none"/>
                <w:u w:val="single"/>
                <w:lang w:val="en-US" w:eastAsia="zh-CN"/>
              </w:rPr>
              <w:t xml:space="preserve"> 陆春华    </w:t>
            </w:r>
            <w:r>
              <w:rPr>
                <w:rFonts w:hint="eastAsia" w:ascii="宋体" w:hAnsi="宋体"/>
                <w:color w:val="auto"/>
                <w:szCs w:val="21"/>
                <w:highlight w:val="none"/>
                <w:u w:val="none"/>
                <w:lang w:val="en-US" w:eastAsia="zh-CN"/>
              </w:rPr>
              <w:t>电话：</w:t>
            </w:r>
            <w:r>
              <w:rPr>
                <w:rFonts w:hint="eastAsia" w:ascii="宋体" w:hAnsi="宋体"/>
                <w:color w:val="auto"/>
                <w:szCs w:val="21"/>
                <w:highlight w:val="none"/>
                <w:u w:val="single"/>
                <w:lang w:val="en-US" w:eastAsia="zh-CN"/>
              </w:rPr>
              <w:t xml:space="preserve"> 13608805177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41" w:type="dxa"/>
            <w:vAlign w:val="center"/>
          </w:tcPr>
          <w:p>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2503" w:type="dxa"/>
            <w:vAlign w:val="center"/>
          </w:tcPr>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是否授权评标委员会确定中标人</w:t>
            </w:r>
          </w:p>
        </w:tc>
        <w:tc>
          <w:tcPr>
            <w:tcW w:w="6505" w:type="dxa"/>
            <w:vAlign w:val="center"/>
          </w:tcPr>
          <w:p>
            <w:pPr>
              <w:spacing w:line="276" w:lineRule="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41"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p>
        </w:tc>
        <w:tc>
          <w:tcPr>
            <w:tcW w:w="250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履约担保</w:t>
            </w:r>
          </w:p>
        </w:tc>
        <w:tc>
          <w:tcPr>
            <w:tcW w:w="6505"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履约担保的形式：</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履约担保的金额：合同总价的</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041"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250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近年财务状况的要求</w:t>
            </w:r>
          </w:p>
        </w:tc>
        <w:tc>
          <w:tcPr>
            <w:tcW w:w="6505" w:type="dxa"/>
            <w:vAlign w:val="center"/>
          </w:tcPr>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1、财务状况要求：</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无负债情况</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2、提交资料：近</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2020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2022</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年）经第三方审计的财务审计报告和财务报表（含资产负债表、利润表、现金流量表）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若没有经第三方审计的财务审计报告和财务报表的，请提供财务状况的证明材料</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041"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250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近年完成的类似项目的年份要求</w:t>
            </w:r>
          </w:p>
        </w:tc>
        <w:tc>
          <w:tcPr>
            <w:tcW w:w="6505" w:type="dxa"/>
            <w:vAlign w:val="center"/>
          </w:tcPr>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近</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2020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11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月至投标文件递交截止时间止，竣工验收证明时间须在此时间段内，合同签订时间无要求），业绩证明材料中不能体现时间或者与要求不符的，视为无效业绩。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041"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27</w:t>
            </w:r>
          </w:p>
        </w:tc>
        <w:tc>
          <w:tcPr>
            <w:tcW w:w="250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近年发生的诉讼及仲裁情况的要求</w:t>
            </w:r>
          </w:p>
        </w:tc>
        <w:tc>
          <w:tcPr>
            <w:tcW w:w="6505" w:type="dxa"/>
            <w:vAlign w:val="center"/>
          </w:tcPr>
          <w:p>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1、发生的诉讼及仲裁情况要求；</w:t>
            </w:r>
            <w:r>
              <w:rPr>
                <w:rFonts w:hint="eastAsia" w:ascii="宋体" w:hAnsi="宋体" w:eastAsia="宋体" w:cs="宋体"/>
                <w:color w:val="auto"/>
                <w:szCs w:val="21"/>
                <w:highlight w:val="none"/>
                <w:u w:val="single"/>
                <w:lang w:val="en-US" w:eastAsia="zh-CN"/>
              </w:rPr>
              <w:t> </w:t>
            </w:r>
            <w:r>
              <w:rPr>
                <w:rFonts w:hint="eastAsia" w:ascii="宋体" w:hAnsi="宋体" w:cs="宋体"/>
                <w:color w:val="auto"/>
                <w:szCs w:val="21"/>
                <w:highlight w:val="none"/>
                <w:u w:val="single"/>
                <w:lang w:val="en-US" w:eastAsia="zh-CN"/>
              </w:rPr>
              <w:t>无任何诉讼</w:t>
            </w:r>
            <w:r>
              <w:rPr>
                <w:rFonts w:hint="eastAsia" w:ascii="宋体" w:hAnsi="宋体" w:eastAsia="宋体" w:cs="宋体"/>
                <w:color w:val="auto"/>
                <w:szCs w:val="21"/>
                <w:highlight w:val="none"/>
                <w:u w:val="single"/>
                <w:lang w:val="en-US" w:eastAsia="zh-CN"/>
              </w:rPr>
              <w:t> </w:t>
            </w:r>
            <w:r>
              <w:rPr>
                <w:rFonts w:hint="eastAsia" w:ascii="宋体" w:hAnsi="宋体" w:eastAsia="宋体" w:cs="宋体"/>
                <w:color w:val="auto"/>
                <w:szCs w:val="21"/>
                <w:highlight w:val="none"/>
                <w:lang w:val="en-US" w:eastAsia="zh-CN"/>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2、发生期间：近</w:t>
            </w:r>
            <w:r>
              <w:rPr>
                <w:rFonts w:hint="eastAsia" w:ascii="宋体" w:hAnsi="宋体" w:eastAsia="宋体" w:cs="宋体"/>
                <w:color w:val="auto"/>
                <w:szCs w:val="21"/>
                <w:highlight w:val="none"/>
                <w:u w:val="single"/>
                <w:lang w:val="en-US" w:eastAsia="zh-CN"/>
              </w:rPr>
              <w:t> </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lang w:val="en-US" w:eastAsia="zh-CN"/>
              </w:rPr>
              <w:t> </w:t>
            </w:r>
            <w:r>
              <w:rPr>
                <w:rFonts w:hint="eastAsia" w:ascii="宋体" w:hAnsi="宋体" w:eastAsia="宋体" w:cs="宋体"/>
                <w:color w:val="auto"/>
                <w:szCs w:val="21"/>
                <w:highlight w:val="none"/>
                <w:lang w:val="en-US" w:eastAsia="zh-CN"/>
              </w:rPr>
              <w:t>年（</w:t>
            </w:r>
            <w:r>
              <w:rPr>
                <w:rFonts w:hint="eastAsia" w:ascii="宋体" w:hAnsi="宋体" w:eastAsia="宋体" w:cs="宋体"/>
                <w:color w:val="auto"/>
                <w:szCs w:val="21"/>
                <w:highlight w:val="none"/>
                <w:u w:val="single"/>
                <w:lang w:val="en-US" w:eastAsia="zh-CN"/>
              </w:rPr>
              <w:t> </w:t>
            </w:r>
            <w:r>
              <w:rPr>
                <w:rFonts w:hint="eastAsia" w:ascii="宋体" w:hAnsi="宋体" w:cs="宋体"/>
                <w:color w:val="auto"/>
                <w:szCs w:val="21"/>
                <w:highlight w:val="none"/>
                <w:u w:val="single"/>
                <w:lang w:val="en-US" w:eastAsia="zh-CN"/>
              </w:rPr>
              <w:t>2020</w:t>
            </w:r>
            <w:r>
              <w:rPr>
                <w:rFonts w:hint="eastAsia" w:ascii="宋体" w:hAnsi="宋体" w:eastAsia="宋体" w:cs="宋体"/>
                <w:color w:val="auto"/>
                <w:szCs w:val="21"/>
                <w:highlight w:val="none"/>
                <w:u w:val="single"/>
                <w:lang w:val="en-US" w:eastAsia="zh-CN"/>
              </w:rPr>
              <w:t> </w:t>
            </w:r>
            <w:r>
              <w:rPr>
                <w:rFonts w:hint="eastAsia" w:ascii="宋体" w:hAnsi="宋体" w:eastAsia="宋体" w:cs="宋体"/>
                <w:color w:val="auto"/>
                <w:szCs w:val="21"/>
                <w:highlight w:val="none"/>
                <w:lang w:val="en-US" w:eastAsia="zh-CN"/>
              </w:rPr>
              <w:t>年</w:t>
            </w:r>
            <w:r>
              <w:rPr>
                <w:rFonts w:hint="eastAsia" w:ascii="宋体" w:hAnsi="宋体" w:eastAsia="宋体" w:cs="宋体"/>
                <w:color w:val="auto"/>
                <w:szCs w:val="21"/>
                <w:highlight w:val="none"/>
                <w:u w:val="single"/>
                <w:lang w:val="en-US" w:eastAsia="zh-CN"/>
              </w:rPr>
              <w:t> </w:t>
            </w:r>
            <w:r>
              <w:rPr>
                <w:rFonts w:hint="eastAsia" w:ascii="宋体" w:hAnsi="宋体" w:cs="宋体"/>
                <w:color w:val="auto"/>
                <w:szCs w:val="21"/>
                <w:highlight w:val="none"/>
                <w:u w:val="single"/>
                <w:lang w:val="en-US" w:eastAsia="zh-CN"/>
              </w:rPr>
              <w:t>11</w:t>
            </w:r>
            <w:r>
              <w:rPr>
                <w:rFonts w:hint="eastAsia" w:ascii="宋体" w:hAnsi="宋体" w:eastAsia="宋体" w:cs="宋体"/>
                <w:color w:val="auto"/>
                <w:szCs w:val="21"/>
                <w:highlight w:val="none"/>
                <w:u w:val="single"/>
                <w:lang w:val="en-US" w:eastAsia="zh-CN"/>
              </w:rPr>
              <w:t> </w:t>
            </w:r>
            <w:r>
              <w:rPr>
                <w:rFonts w:hint="eastAsia" w:ascii="宋体" w:hAnsi="宋体" w:eastAsia="宋体" w:cs="宋体"/>
                <w:color w:val="auto"/>
                <w:szCs w:val="21"/>
                <w:highlight w:val="none"/>
                <w:lang w:val="en-US" w:eastAsia="zh-CN"/>
              </w:rPr>
              <w:t>月</w:t>
            </w:r>
            <w:r>
              <w:rPr>
                <w:rFonts w:hint="eastAsia" w:ascii="宋体" w:hAnsi="宋体" w:eastAsia="宋体" w:cs="宋体"/>
                <w:color w:val="auto"/>
                <w:szCs w:val="21"/>
                <w:highlight w:val="none"/>
                <w:u w:val="single"/>
                <w:lang w:val="en-US" w:eastAsia="zh-CN"/>
              </w:rPr>
              <w:t> </w:t>
            </w:r>
            <w:r>
              <w:rPr>
                <w:rFonts w:hint="eastAsia" w:ascii="宋体" w:hAnsi="宋体" w:cs="宋体"/>
                <w:color w:val="auto"/>
                <w:szCs w:val="21"/>
                <w:highlight w:val="none"/>
                <w:u w:val="single"/>
                <w:lang w:val="en-US" w:eastAsia="zh-CN"/>
              </w:rPr>
              <w:t>11</w:t>
            </w:r>
            <w:r>
              <w:rPr>
                <w:rFonts w:hint="eastAsia" w:ascii="宋体" w:hAnsi="宋体" w:eastAsia="宋体" w:cs="宋体"/>
                <w:color w:val="auto"/>
                <w:szCs w:val="21"/>
                <w:highlight w:val="none"/>
                <w:u w:val="single"/>
                <w:lang w:val="en-US" w:eastAsia="zh-CN"/>
              </w:rPr>
              <w:t> </w:t>
            </w:r>
            <w:r>
              <w:rPr>
                <w:rFonts w:hint="eastAsia" w:ascii="宋体" w:hAnsi="宋体" w:eastAsia="宋体" w:cs="宋体"/>
                <w:color w:val="auto"/>
                <w:szCs w:val="21"/>
                <w:highlight w:val="none"/>
                <w:lang w:val="en-US" w:eastAsia="zh-CN"/>
              </w:rPr>
              <w:t xml:space="preserve">日至投标文件递交截止时间止）发生的诉讼及仲裁情况。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041"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2503" w:type="dxa"/>
            <w:vAlign w:val="center"/>
          </w:tcPr>
          <w:p>
            <w:pPr>
              <w:widowControl/>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保密协定 </w:t>
            </w:r>
          </w:p>
        </w:tc>
        <w:tc>
          <w:tcPr>
            <w:tcW w:w="6505" w:type="dxa"/>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投标人不得将本招标文件的任何内容，泄露给任何第三方，否则</w:t>
            </w:r>
            <w:r>
              <w:rPr>
                <w:rFonts w:hint="eastAsia" w:ascii="宋体" w:hAnsi="宋体" w:eastAsia="宋体" w:cs="宋体"/>
                <w:color w:val="auto"/>
                <w:szCs w:val="21"/>
                <w:highlight w:val="none"/>
                <w:lang w:val="en-US" w:eastAsia="zh-CN"/>
              </w:rPr>
              <w:t>将</w:t>
            </w:r>
            <w:r>
              <w:rPr>
                <w:rFonts w:hint="eastAsia" w:ascii="宋体" w:hAnsi="宋体" w:eastAsia="宋体" w:cs="宋体"/>
                <w:color w:val="auto"/>
                <w:szCs w:val="21"/>
                <w:highlight w:val="none"/>
              </w:rPr>
              <w:t>承担相应法律责任。</w:t>
            </w:r>
          </w:p>
        </w:tc>
      </w:tr>
    </w:tbl>
    <w:p>
      <w:pPr>
        <w:ind w:firstLine="480" w:firstLineChars="200"/>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注：投标人请将“投标保证金”汇款单复印后加盖公章放入投标文件中。</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b/>
          <w:bCs/>
          <w:color w:val="auto"/>
          <w:sz w:val="28"/>
          <w:szCs w:val="28"/>
          <w:highlight w:val="none"/>
        </w:rPr>
      </w:pPr>
      <w:bookmarkStart w:id="19" w:name="_Toc2241"/>
      <w:r>
        <w:rPr>
          <w:rFonts w:hint="eastAsia" w:ascii="宋体" w:hAnsi="宋体" w:eastAsia="宋体" w:cs="宋体"/>
          <w:b/>
          <w:bCs/>
          <w:color w:val="auto"/>
          <w:sz w:val="28"/>
          <w:szCs w:val="28"/>
          <w:highlight w:val="none"/>
        </w:rPr>
        <w:br w:type="page"/>
      </w:r>
    </w:p>
    <w:p>
      <w:pPr>
        <w:jc w:val="center"/>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二、投标须知</w:t>
      </w:r>
      <w:bookmarkEnd w:id="19"/>
    </w:p>
    <w:p>
      <w:pPr>
        <w:pStyle w:val="30"/>
        <w:spacing w:before="0" w:line="360" w:lineRule="auto"/>
        <w:ind w:firstLine="482" w:firstLineChars="200"/>
        <w:jc w:val="left"/>
        <w:outlineLvl w:val="3"/>
        <w:rPr>
          <w:rFonts w:hint="eastAsia" w:ascii="宋体" w:hAnsi="宋体" w:eastAsia="宋体" w:cs="宋体"/>
          <w:b/>
          <w:color w:val="auto"/>
          <w:szCs w:val="28"/>
          <w:highlight w:val="none"/>
        </w:rPr>
      </w:pPr>
      <w:bookmarkStart w:id="20" w:name="_Toc4863"/>
      <w:bookmarkStart w:id="21" w:name="_Toc25869"/>
      <w:bookmarkStart w:id="22" w:name="_Toc7733"/>
      <w:r>
        <w:rPr>
          <w:rFonts w:hint="eastAsia" w:ascii="宋体" w:hAnsi="宋体" w:eastAsia="宋体" w:cs="宋体"/>
          <w:b/>
          <w:color w:val="auto"/>
          <w:sz w:val="24"/>
          <w:szCs w:val="24"/>
          <w:highlight w:val="none"/>
        </w:rPr>
        <w:t>1.资格要求</w:t>
      </w:r>
      <w:bookmarkEnd w:id="20"/>
      <w:bookmarkEnd w:id="21"/>
      <w:bookmarkEnd w:id="22"/>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1.1投标人必须具有</w:t>
      </w:r>
      <w:r>
        <w:rPr>
          <w:rFonts w:hint="eastAsia" w:ascii="宋体" w:hAnsi="宋体" w:eastAsia="宋体" w:cs="宋体"/>
          <w:color w:val="auto"/>
          <w:szCs w:val="21"/>
          <w:highlight w:val="none"/>
          <w:u w:val="single"/>
        </w:rPr>
        <w:t xml:space="preserve"> 防水防腐保温工程专业承包贰级及以上 </w:t>
      </w:r>
      <w:r>
        <w:rPr>
          <w:rFonts w:hint="eastAsia" w:ascii="宋体" w:hAnsi="宋体" w:eastAsia="宋体" w:cs="宋体"/>
          <w:color w:val="auto"/>
          <w:szCs w:val="21"/>
          <w:highlight w:val="none"/>
        </w:rPr>
        <w:t>资质且为</w:t>
      </w:r>
      <w:r>
        <w:rPr>
          <w:rFonts w:hint="eastAsia" w:ascii="宋体" w:hAnsi="宋体" w:eastAsia="宋体" w:cs="宋体"/>
          <w:color w:val="auto"/>
          <w:szCs w:val="22"/>
          <w:highlight w:val="none"/>
        </w:rPr>
        <w:t>集团/公司供应商数据库成员</w:t>
      </w:r>
      <w:r>
        <w:rPr>
          <w:rFonts w:hint="eastAsia" w:ascii="宋体" w:hAnsi="宋体" w:eastAsia="宋体" w:cs="宋体"/>
          <w:color w:val="auto"/>
          <w:szCs w:val="21"/>
          <w:highlight w:val="none"/>
        </w:rPr>
        <w:t>，并获得招标人批准的单位；</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1.2投标人在规定年限内完成类似项目业绩：</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一个</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1.3对投标人项目部团队主要成员的任职要求：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1.3.1项目经理具有</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年以上项目经理岗位工作经验，</w:t>
      </w:r>
      <w:r>
        <w:rPr>
          <w:rFonts w:hint="eastAsia" w:ascii="宋体" w:hAnsi="宋体" w:eastAsia="宋体" w:cs="宋体"/>
          <w:color w:val="auto"/>
          <w:szCs w:val="21"/>
          <w:highlight w:val="none"/>
          <w:u w:val="single"/>
        </w:rPr>
        <w:t xml:space="preserve"> 贰级建造师  </w:t>
      </w:r>
      <w:r>
        <w:rPr>
          <w:rFonts w:hint="eastAsia" w:ascii="宋体" w:hAnsi="宋体" w:eastAsia="宋体" w:cs="宋体"/>
          <w:color w:val="auto"/>
          <w:szCs w:val="21"/>
          <w:highlight w:val="none"/>
        </w:rPr>
        <w:t xml:space="preserve">职业资格，有类似项目的管理经验，需长驻现场；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1.3.2项目技术负责人具有</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年以上该岗位工作经验，</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职业资格，需长驻现场；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1.3.3项目管理团队岗位配置齐全，满足现场管理要求，具体人员要求见投标人须知前附表；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1.3.4施工现场</w:t>
      </w:r>
      <w:r>
        <w:rPr>
          <w:rFonts w:hint="eastAsia" w:ascii="宋体" w:hAnsi="宋体" w:eastAsia="宋体" w:cs="宋体"/>
          <w:color w:val="auto"/>
          <w:szCs w:val="21"/>
          <w:highlight w:val="none"/>
          <w:u w:val="single"/>
        </w:rPr>
        <w:t>项目经理、技术负责人、施工员、安全员、质量员等</w:t>
      </w:r>
      <w:r>
        <w:rPr>
          <w:rFonts w:hint="eastAsia" w:ascii="宋体" w:hAnsi="宋体" w:eastAsia="宋体" w:cs="宋体"/>
          <w:color w:val="auto"/>
          <w:szCs w:val="21"/>
          <w:highlight w:val="none"/>
        </w:rPr>
        <w:t>管理人员执行现场考勤制度，其到岗率具体要求为：项目经理</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90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%（每月有</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27</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天到岗，包括节假日）到岗率，项目技术负责人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90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%（每月有</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27</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天到岗，包括节假日）到岗率，其他人员</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90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％（每月有</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27</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天到岗，包括节假日）到岗率，如发现有未达到此项要求者，每人每日处以违约金</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500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元，在应付工程款中扣除。未经招标人书面同意，不得更换项目经理及技术负责人，否则招标人有权单方终止合同，停付工程款。</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1.4财务状况要求：</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无负债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Cs w:val="21"/>
          <w:highlight w:val="none"/>
        </w:rPr>
        <w:t>1.5信</w:t>
      </w:r>
      <w:r>
        <w:rPr>
          <w:rFonts w:hint="eastAsia" w:ascii="宋体" w:hAnsi="宋体" w:eastAsia="宋体" w:cs="宋体"/>
          <w:color w:val="auto"/>
          <w:highlight w:val="none"/>
        </w:rPr>
        <w:t>誉要求：</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良好</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1.6其他补充条款：</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30"/>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23" w:name="_Toc21918"/>
      <w:bookmarkStart w:id="24" w:name="_Toc4628"/>
      <w:bookmarkStart w:id="25" w:name="_Toc17428"/>
      <w:r>
        <w:rPr>
          <w:rFonts w:hint="eastAsia" w:ascii="宋体" w:hAnsi="宋体" w:eastAsia="宋体" w:cs="宋体"/>
          <w:b/>
          <w:color w:val="auto"/>
          <w:sz w:val="24"/>
          <w:szCs w:val="24"/>
          <w:highlight w:val="none"/>
        </w:rPr>
        <w:t>2.招标范围及标段划分</w:t>
      </w:r>
      <w:bookmarkEnd w:id="23"/>
      <w:bookmarkEnd w:id="24"/>
      <w:bookmarkEnd w:id="25"/>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详见投标须知前附表。</w:t>
      </w:r>
    </w:p>
    <w:p>
      <w:pPr>
        <w:pStyle w:val="30"/>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26" w:name="_Toc942"/>
      <w:bookmarkStart w:id="27" w:name="_Toc10066"/>
      <w:bookmarkStart w:id="28" w:name="_Toc26551"/>
      <w:r>
        <w:rPr>
          <w:rFonts w:hint="eastAsia" w:ascii="宋体" w:hAnsi="宋体" w:eastAsia="宋体" w:cs="宋体"/>
          <w:b/>
          <w:color w:val="auto"/>
          <w:sz w:val="24"/>
          <w:szCs w:val="24"/>
          <w:highlight w:val="none"/>
        </w:rPr>
        <w:t>3.质量要求</w:t>
      </w:r>
      <w:bookmarkEnd w:id="26"/>
      <w:bookmarkEnd w:id="27"/>
      <w:bookmarkEnd w:id="28"/>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3.1质量要求：见“投标须知前附表”及本招标文件</w:t>
      </w:r>
      <w:r>
        <w:rPr>
          <w:rFonts w:hint="eastAsia" w:ascii="宋体" w:hAnsi="宋体" w:eastAsia="宋体" w:cs="宋体"/>
          <w:color w:val="auto"/>
          <w:szCs w:val="21"/>
          <w:highlight w:val="none"/>
          <w:lang w:val="en-US" w:eastAsia="zh-CN"/>
        </w:rPr>
        <w:t>第三篇</w:t>
      </w:r>
      <w:r>
        <w:rPr>
          <w:rFonts w:hint="eastAsia" w:ascii="宋体" w:hAnsi="宋体" w:eastAsia="宋体" w:cs="宋体"/>
          <w:color w:val="auto"/>
          <w:szCs w:val="21"/>
          <w:highlight w:val="none"/>
        </w:rPr>
        <w:t>《建设工程施工专业分包合同</w:t>
      </w:r>
      <w:r>
        <w:rPr>
          <w:rFonts w:hint="eastAsia" w:ascii="宋体" w:hAnsi="宋体" w:eastAsia="宋体" w:cs="宋体"/>
          <w:color w:val="auto"/>
          <w:szCs w:val="21"/>
          <w:highlight w:val="none"/>
          <w:lang w:val="en-US" w:eastAsia="zh-CN"/>
        </w:rPr>
        <w:t>范本</w:t>
      </w:r>
      <w:r>
        <w:rPr>
          <w:rFonts w:hint="eastAsia" w:ascii="宋体" w:hAnsi="宋体" w:eastAsia="宋体" w:cs="宋体"/>
          <w:color w:val="auto"/>
          <w:szCs w:val="21"/>
          <w:highlight w:val="none"/>
        </w:rPr>
        <w:t>》相关条款。</w:t>
      </w:r>
    </w:p>
    <w:p>
      <w:pPr>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highlight w:val="none"/>
        </w:rPr>
        <w:t>3.2</w:t>
      </w:r>
      <w:r>
        <w:rPr>
          <w:rFonts w:hint="eastAsia" w:ascii="宋体" w:hAnsi="宋体" w:eastAsia="宋体" w:cs="宋体"/>
          <w:color w:val="auto"/>
          <w:szCs w:val="21"/>
          <w:highlight w:val="none"/>
        </w:rPr>
        <w:t>质量保修期及保修金：见本招标文件</w:t>
      </w:r>
      <w:r>
        <w:rPr>
          <w:rFonts w:hint="eastAsia" w:ascii="宋体" w:hAnsi="宋体" w:eastAsia="宋体" w:cs="宋体"/>
          <w:color w:val="auto"/>
          <w:szCs w:val="21"/>
          <w:highlight w:val="none"/>
          <w:lang w:val="en-US" w:eastAsia="zh-CN"/>
        </w:rPr>
        <w:t>第三篇</w:t>
      </w:r>
      <w:r>
        <w:rPr>
          <w:rFonts w:hint="eastAsia" w:ascii="宋体" w:hAnsi="宋体" w:eastAsia="宋体" w:cs="宋体"/>
          <w:color w:val="auto"/>
          <w:szCs w:val="21"/>
          <w:highlight w:val="none"/>
        </w:rPr>
        <w:t>《建设工程施工专业分包合同</w:t>
      </w:r>
      <w:r>
        <w:rPr>
          <w:rFonts w:hint="eastAsia" w:ascii="宋体" w:hAnsi="宋体" w:eastAsia="宋体" w:cs="宋体"/>
          <w:color w:val="auto"/>
          <w:szCs w:val="21"/>
          <w:highlight w:val="none"/>
          <w:lang w:val="en-US" w:eastAsia="zh-CN"/>
        </w:rPr>
        <w:t>范本</w:t>
      </w:r>
      <w:r>
        <w:rPr>
          <w:rFonts w:hint="eastAsia" w:ascii="宋体" w:hAnsi="宋体" w:eastAsia="宋体" w:cs="宋体"/>
          <w:color w:val="auto"/>
          <w:szCs w:val="21"/>
          <w:highlight w:val="none"/>
        </w:rPr>
        <w:t>》相关条款。</w:t>
      </w:r>
    </w:p>
    <w:p>
      <w:pPr>
        <w:pStyle w:val="30"/>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29" w:name="_Toc22081"/>
      <w:bookmarkStart w:id="30" w:name="_Toc5230"/>
      <w:bookmarkStart w:id="31" w:name="_Toc10558"/>
      <w:r>
        <w:rPr>
          <w:rFonts w:hint="eastAsia" w:ascii="宋体" w:hAnsi="宋体" w:eastAsia="宋体" w:cs="宋体"/>
          <w:b/>
          <w:color w:val="auto"/>
          <w:sz w:val="24"/>
          <w:szCs w:val="24"/>
          <w:highlight w:val="none"/>
        </w:rPr>
        <w:t>4.安全文明施工要求</w:t>
      </w:r>
      <w:bookmarkEnd w:id="29"/>
      <w:bookmarkEnd w:id="30"/>
      <w:bookmarkEnd w:id="31"/>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详见“投标须知前附表”及本招标文件</w:t>
      </w:r>
      <w:r>
        <w:rPr>
          <w:rFonts w:hint="eastAsia" w:ascii="宋体" w:hAnsi="宋体" w:eastAsia="宋体" w:cs="宋体"/>
          <w:color w:val="auto"/>
          <w:szCs w:val="21"/>
          <w:highlight w:val="none"/>
          <w:lang w:val="en-US" w:eastAsia="zh-CN"/>
        </w:rPr>
        <w:t>第三篇</w:t>
      </w:r>
      <w:r>
        <w:rPr>
          <w:rFonts w:hint="eastAsia" w:ascii="宋体" w:hAnsi="宋体" w:eastAsia="宋体" w:cs="宋体"/>
          <w:color w:val="auto"/>
          <w:szCs w:val="21"/>
          <w:highlight w:val="none"/>
        </w:rPr>
        <w:t>《建设工程施工专业分包合同</w:t>
      </w:r>
      <w:r>
        <w:rPr>
          <w:rFonts w:hint="eastAsia" w:ascii="宋体" w:hAnsi="宋体" w:eastAsia="宋体" w:cs="宋体"/>
          <w:color w:val="auto"/>
          <w:szCs w:val="21"/>
          <w:highlight w:val="none"/>
          <w:lang w:val="en-US" w:eastAsia="zh-CN"/>
        </w:rPr>
        <w:t>范本</w:t>
      </w:r>
      <w:r>
        <w:rPr>
          <w:rFonts w:hint="eastAsia" w:ascii="宋体" w:hAnsi="宋体" w:eastAsia="宋体" w:cs="宋体"/>
          <w:color w:val="auto"/>
          <w:szCs w:val="21"/>
          <w:highlight w:val="none"/>
        </w:rPr>
        <w:t>》相关条款。</w:t>
      </w:r>
    </w:p>
    <w:p>
      <w:pPr>
        <w:pStyle w:val="30"/>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32" w:name="_Toc23240"/>
      <w:bookmarkStart w:id="33" w:name="_Toc291"/>
      <w:bookmarkStart w:id="34" w:name="_Toc19599"/>
      <w:r>
        <w:rPr>
          <w:rFonts w:hint="eastAsia" w:ascii="宋体" w:hAnsi="宋体" w:eastAsia="宋体" w:cs="宋体"/>
          <w:b/>
          <w:color w:val="auto"/>
          <w:sz w:val="24"/>
          <w:szCs w:val="24"/>
          <w:highlight w:val="none"/>
        </w:rPr>
        <w:t>5.工期要求</w:t>
      </w:r>
      <w:bookmarkEnd w:id="32"/>
      <w:bookmarkEnd w:id="33"/>
      <w:bookmarkEnd w:id="34"/>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详见“投标须知前附表”及本招标文件</w:t>
      </w:r>
      <w:r>
        <w:rPr>
          <w:rFonts w:hint="eastAsia" w:ascii="宋体" w:hAnsi="宋体" w:eastAsia="宋体" w:cs="宋体"/>
          <w:color w:val="auto"/>
          <w:szCs w:val="21"/>
          <w:highlight w:val="none"/>
          <w:lang w:val="en-US" w:eastAsia="zh-CN"/>
        </w:rPr>
        <w:t>第三篇</w:t>
      </w:r>
      <w:r>
        <w:rPr>
          <w:rFonts w:hint="eastAsia" w:ascii="宋体" w:hAnsi="宋体" w:eastAsia="宋体" w:cs="宋体"/>
          <w:color w:val="auto"/>
          <w:szCs w:val="21"/>
          <w:highlight w:val="none"/>
        </w:rPr>
        <w:t>《建设工程施工专业分包合同</w:t>
      </w:r>
      <w:r>
        <w:rPr>
          <w:rFonts w:hint="eastAsia" w:ascii="宋体" w:hAnsi="宋体" w:eastAsia="宋体" w:cs="宋体"/>
          <w:color w:val="auto"/>
          <w:szCs w:val="21"/>
          <w:highlight w:val="none"/>
          <w:lang w:val="en-US" w:eastAsia="zh-CN"/>
        </w:rPr>
        <w:t>范本</w:t>
      </w:r>
      <w:r>
        <w:rPr>
          <w:rFonts w:hint="eastAsia" w:ascii="宋体" w:hAnsi="宋体" w:eastAsia="宋体" w:cs="宋体"/>
          <w:color w:val="auto"/>
          <w:szCs w:val="21"/>
          <w:highlight w:val="none"/>
        </w:rPr>
        <w:t>》相关条款。</w:t>
      </w:r>
    </w:p>
    <w:p>
      <w:pPr>
        <w:pStyle w:val="30"/>
        <w:numPr>
          <w:ilvl w:val="0"/>
          <w:numId w:val="5"/>
        </w:numPr>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35" w:name="_Toc30975"/>
      <w:bookmarkStart w:id="36" w:name="_Toc20178"/>
      <w:bookmarkStart w:id="37" w:name="_Toc27519"/>
      <w:r>
        <w:rPr>
          <w:rFonts w:hint="eastAsia" w:ascii="宋体" w:hAnsi="宋体" w:eastAsia="宋体" w:cs="宋体"/>
          <w:b/>
          <w:color w:val="auto"/>
          <w:sz w:val="24"/>
          <w:szCs w:val="24"/>
          <w:highlight w:val="none"/>
        </w:rPr>
        <w:t>投标有效期</w:t>
      </w:r>
      <w:bookmarkEnd w:id="35"/>
      <w:bookmarkEnd w:id="36"/>
      <w:bookmarkEnd w:id="37"/>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 在投标须知前附表规定的投标有效期内，投标人不得要求撤销或修改其投标文件。</w:t>
      </w:r>
    </w:p>
    <w:p>
      <w:pPr>
        <w:spacing w:line="360" w:lineRule="auto"/>
        <w:ind w:firstLine="420" w:firstLineChars="200"/>
        <w:rPr>
          <w:rFonts w:hint="eastAsia" w:ascii="宋体" w:hAnsi="宋体" w:eastAsia="宋体" w:cs="宋体"/>
          <w:b/>
          <w:color w:val="auto"/>
          <w:sz w:val="24"/>
          <w:szCs w:val="24"/>
          <w:highlight w:val="none"/>
        </w:rPr>
      </w:pPr>
      <w:r>
        <w:rPr>
          <w:rFonts w:hint="eastAsia" w:ascii="宋体" w:hAnsi="宋体" w:eastAsia="宋体" w:cs="宋体"/>
          <w:color w:val="auto"/>
          <w:szCs w:val="21"/>
          <w:highlight w:val="none"/>
        </w:rPr>
        <w:t xml:space="preserve">6.2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pStyle w:val="30"/>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38" w:name="_Toc29256"/>
      <w:bookmarkStart w:id="39" w:name="_Toc31060"/>
      <w:bookmarkStart w:id="40" w:name="_Toc23179"/>
      <w:r>
        <w:rPr>
          <w:rFonts w:hint="eastAsia" w:ascii="宋体" w:hAnsi="宋体" w:eastAsia="宋体" w:cs="宋体"/>
          <w:b/>
          <w:color w:val="auto"/>
          <w:sz w:val="24"/>
          <w:szCs w:val="24"/>
          <w:highlight w:val="none"/>
        </w:rPr>
        <w:t>7.投标保证金相关约定</w:t>
      </w:r>
      <w:bookmarkEnd w:id="38"/>
      <w:bookmarkEnd w:id="39"/>
      <w:bookmarkEnd w:id="40"/>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w:t>
      </w:r>
      <w:r>
        <w:rPr>
          <w:rFonts w:hint="eastAsia" w:ascii="宋体" w:hAnsi="宋体" w:eastAsia="宋体" w:cs="宋体"/>
          <w:color w:val="auto"/>
          <w:highlight w:val="none"/>
        </w:rPr>
        <w:t>投标人在递交投标文件的同时，应按投标须知前附表规定的金额、提交形式递交投标保证金，并作为其投标文件的组成部分。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7.2招标人与中标人签订合同后 </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天内，向</w:t>
      </w:r>
      <w:r>
        <w:rPr>
          <w:rFonts w:hint="eastAsia" w:ascii="宋体" w:hAnsi="宋体" w:eastAsia="宋体" w:cs="宋体"/>
          <w:color w:val="auto"/>
          <w:szCs w:val="21"/>
          <w:highlight w:val="none"/>
          <w:lang w:val="en-US" w:eastAsia="zh-CN"/>
        </w:rPr>
        <w:t>所有</w:t>
      </w:r>
      <w:r>
        <w:rPr>
          <w:rFonts w:hint="eastAsia" w:ascii="宋体" w:hAnsi="宋体" w:eastAsia="宋体" w:cs="宋体"/>
          <w:color w:val="auto"/>
          <w:szCs w:val="21"/>
          <w:highlight w:val="none"/>
        </w:rPr>
        <w:t>投标人无息退还投标保证金。</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w:t>
      </w:r>
      <w:r>
        <w:rPr>
          <w:rFonts w:hint="eastAsia" w:ascii="宋体" w:hAnsi="宋体" w:eastAsia="宋体" w:cs="宋体"/>
          <w:color w:val="auto"/>
          <w:highlight w:val="none"/>
        </w:rPr>
        <w:t>投标人不按本章第7.1项要求提交投标保证金的，其投标将被否决。</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7.4在下列情况下，招标人将没收投标保证金：</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7.4.1投标人在投标有效期内中途退出的；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7.4.2在提交投标文件截止时间后到招标文件规定的投标有效期终止之前，投标人撤回其投标文件的；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7.4.3中标人未能在规定期限内签署专业分包合同的；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7.4.4投标过程中有弄虚作假，串通舞弊行为的；</w:t>
      </w:r>
    </w:p>
    <w:p>
      <w:pPr>
        <w:spacing w:line="360" w:lineRule="auto"/>
        <w:ind w:firstLine="420" w:firstLineChars="200"/>
        <w:rPr>
          <w:rFonts w:hint="eastAsia" w:ascii="宋体" w:hAnsi="宋体" w:eastAsia="宋体" w:cs="宋体"/>
          <w:color w:val="auto"/>
          <w:sz w:val="24"/>
          <w:szCs w:val="21"/>
          <w:highlight w:val="none"/>
        </w:rPr>
      </w:pPr>
      <w:r>
        <w:rPr>
          <w:rFonts w:hint="eastAsia" w:ascii="宋体" w:hAnsi="宋体" w:eastAsia="宋体" w:cs="宋体"/>
          <w:color w:val="auto"/>
          <w:szCs w:val="21"/>
          <w:highlight w:val="none"/>
        </w:rPr>
        <w:t>7.4.5签订合同时向招标人提出附加条件或者更改合同实质性内容的，或者拒不提交所要求的履约保证金的</w:t>
      </w:r>
      <w:r>
        <w:rPr>
          <w:rFonts w:hint="eastAsia" w:ascii="宋体" w:hAnsi="宋体" w:eastAsia="宋体" w:cs="宋体"/>
          <w:color w:val="auto"/>
          <w:sz w:val="24"/>
          <w:szCs w:val="21"/>
          <w:highlight w:val="none"/>
        </w:rPr>
        <w:t>。</w:t>
      </w:r>
    </w:p>
    <w:p>
      <w:pPr>
        <w:pStyle w:val="30"/>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41" w:name="_Toc2178"/>
      <w:bookmarkStart w:id="42" w:name="_Toc30798"/>
      <w:bookmarkStart w:id="43" w:name="_Toc3159"/>
      <w:r>
        <w:rPr>
          <w:rFonts w:hint="eastAsia" w:ascii="宋体" w:hAnsi="宋体" w:eastAsia="宋体" w:cs="宋体"/>
          <w:b/>
          <w:color w:val="auto"/>
          <w:sz w:val="24"/>
          <w:szCs w:val="24"/>
          <w:highlight w:val="none"/>
        </w:rPr>
        <w:t>8.工程现场条件</w:t>
      </w:r>
      <w:bookmarkEnd w:id="41"/>
      <w:bookmarkEnd w:id="42"/>
      <w:bookmarkEnd w:id="43"/>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以现场踏勘为准。</w:t>
      </w:r>
    </w:p>
    <w:p>
      <w:pPr>
        <w:pStyle w:val="30"/>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44" w:name="_Toc1928"/>
      <w:bookmarkStart w:id="45" w:name="_Toc26742"/>
      <w:bookmarkStart w:id="46" w:name="_Toc15595"/>
      <w:r>
        <w:rPr>
          <w:rFonts w:hint="eastAsia" w:ascii="宋体" w:hAnsi="宋体" w:eastAsia="宋体" w:cs="宋体"/>
          <w:b/>
          <w:color w:val="auto"/>
          <w:sz w:val="24"/>
          <w:szCs w:val="24"/>
          <w:highlight w:val="none"/>
        </w:rPr>
        <w:t>9.投标费用</w:t>
      </w:r>
      <w:bookmarkEnd w:id="44"/>
      <w:bookmarkEnd w:id="45"/>
      <w:bookmarkEnd w:id="46"/>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9.1投标人承担其投标全过程所涉及的一切费用，不管投标结果如何，招标人对上述费用不承担任何责任。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9.2其他补充条款：</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pStyle w:val="30"/>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47" w:name="_Toc24848"/>
      <w:bookmarkStart w:id="48" w:name="_Toc4021"/>
      <w:bookmarkStart w:id="49" w:name="_Toc25768"/>
      <w:r>
        <w:rPr>
          <w:rFonts w:hint="eastAsia" w:ascii="宋体" w:hAnsi="宋体" w:eastAsia="宋体" w:cs="宋体"/>
          <w:b/>
          <w:color w:val="auto"/>
          <w:sz w:val="24"/>
          <w:szCs w:val="24"/>
          <w:highlight w:val="none"/>
        </w:rPr>
        <w:t>10.投标文件递交截止时间</w:t>
      </w:r>
      <w:bookmarkEnd w:id="47"/>
      <w:bookmarkEnd w:id="48"/>
      <w:bookmarkEnd w:id="49"/>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投标文件递交截止时间详见投标须知前附表，超过投标文件递交截止时间的投标文件将不予接受。</w:t>
      </w:r>
    </w:p>
    <w:p>
      <w:pPr>
        <w:pStyle w:val="30"/>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50" w:name="_Toc11022"/>
      <w:bookmarkStart w:id="51" w:name="_Toc8403"/>
      <w:bookmarkStart w:id="52" w:name="_Toc1653"/>
      <w:r>
        <w:rPr>
          <w:rFonts w:hint="eastAsia" w:ascii="宋体" w:hAnsi="宋体" w:eastAsia="宋体" w:cs="宋体"/>
          <w:b/>
          <w:color w:val="auto"/>
          <w:sz w:val="24"/>
          <w:szCs w:val="24"/>
          <w:highlight w:val="none"/>
        </w:rPr>
        <w:t>11.保密协定</w:t>
      </w:r>
      <w:bookmarkEnd w:id="50"/>
      <w:bookmarkEnd w:id="51"/>
      <w:bookmarkEnd w:id="52"/>
      <w:r>
        <w:rPr>
          <w:rFonts w:hint="eastAsia" w:ascii="宋体" w:hAnsi="宋体" w:eastAsia="宋体" w:cs="宋体"/>
          <w:b/>
          <w:color w:val="auto"/>
          <w:sz w:val="24"/>
          <w:szCs w:val="24"/>
          <w:highlight w:val="none"/>
        </w:rPr>
        <w:t xml:space="preserve">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详见投标须知前附表。</w:t>
      </w:r>
    </w:p>
    <w:p>
      <w:pPr>
        <w:pStyle w:val="30"/>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53" w:name="_Toc21983"/>
      <w:bookmarkStart w:id="54" w:name="_Toc24994"/>
      <w:bookmarkStart w:id="55" w:name="_Toc22348"/>
      <w:r>
        <w:rPr>
          <w:rFonts w:hint="eastAsia" w:ascii="宋体" w:hAnsi="宋体" w:eastAsia="宋体" w:cs="宋体"/>
          <w:b/>
          <w:color w:val="auto"/>
          <w:sz w:val="24"/>
          <w:szCs w:val="24"/>
          <w:highlight w:val="none"/>
        </w:rPr>
        <w:t>12.语言文字</w:t>
      </w:r>
      <w:bookmarkEnd w:id="53"/>
      <w:bookmarkEnd w:id="54"/>
      <w:bookmarkEnd w:id="55"/>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投标人与招标人之间的往来函电和文件均应使用中文。</w:t>
      </w:r>
    </w:p>
    <w:p>
      <w:pPr>
        <w:pStyle w:val="30"/>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56" w:name="_Toc32306"/>
      <w:bookmarkStart w:id="57" w:name="_Toc12397"/>
      <w:bookmarkStart w:id="58" w:name="_Toc3457"/>
      <w:r>
        <w:rPr>
          <w:rFonts w:hint="eastAsia" w:ascii="宋体" w:hAnsi="宋体" w:eastAsia="宋体" w:cs="宋体"/>
          <w:b/>
          <w:color w:val="auto"/>
          <w:sz w:val="24"/>
          <w:szCs w:val="24"/>
          <w:highlight w:val="none"/>
        </w:rPr>
        <w:t>13.现场踏勘</w:t>
      </w:r>
      <w:bookmarkEnd w:id="56"/>
      <w:bookmarkEnd w:id="57"/>
      <w:bookmarkEnd w:id="58"/>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13.1投标人须对工程现场及其周围环境进行现场踏勘，以便获取投标报价和签署合同等所需的所有数据和信息。现场踏勘的费用由投标人自行承担。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13.2经招标人允许和事先安排，投标人及其代表方能进入现场进行踏勘。</w:t>
      </w:r>
      <w:r>
        <w:rPr>
          <w:rFonts w:hint="eastAsia" w:ascii="宋体" w:hAnsi="宋体" w:eastAsia="宋体" w:cs="宋体"/>
          <w:color w:val="auto"/>
          <w:highlight w:val="none"/>
        </w:rPr>
        <w:t>除招标人的原因外，</w:t>
      </w:r>
      <w:r>
        <w:rPr>
          <w:rFonts w:hint="eastAsia" w:ascii="宋体" w:hAnsi="宋体" w:eastAsia="宋体" w:cs="宋体"/>
          <w:color w:val="auto"/>
          <w:szCs w:val="21"/>
          <w:highlight w:val="none"/>
        </w:rPr>
        <w:t>投标人及其代表</w:t>
      </w:r>
      <w:r>
        <w:rPr>
          <w:rFonts w:hint="eastAsia" w:ascii="宋体" w:hAnsi="宋体" w:eastAsia="宋体" w:cs="宋体"/>
          <w:color w:val="auto"/>
          <w:highlight w:val="none"/>
        </w:rPr>
        <w:t>自行负责在现场踏勘中所发生的人员伤亡和财产损失</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13.3因投标人未进行现场踏勘而造成的投标文件偏离等一切后果，均由投标人自行承担。</w:t>
      </w:r>
    </w:p>
    <w:p>
      <w:pPr>
        <w:pStyle w:val="31"/>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 w:val="21"/>
          <w:highlight w:val="none"/>
        </w:rPr>
        <w:t>13.4招标文件中的现场地质勘察资料及有关施工现场的市政管线等的数据和资料（如有）由招标人提供给投标人参考。投标人有义务通过自己的努力来核查这些资料的准确性。招标人不对投标人由此而做出的推论、理解和结论负责。</w:t>
      </w:r>
    </w:p>
    <w:p>
      <w:pPr>
        <w:pStyle w:val="30"/>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59" w:name="_Toc893"/>
      <w:bookmarkStart w:id="60" w:name="_Toc21290"/>
      <w:bookmarkStart w:id="61" w:name="_Toc26617"/>
      <w:r>
        <w:rPr>
          <w:rFonts w:hint="eastAsia" w:ascii="宋体" w:hAnsi="宋体" w:eastAsia="宋体" w:cs="宋体"/>
          <w:b/>
          <w:color w:val="auto"/>
          <w:sz w:val="24"/>
          <w:szCs w:val="24"/>
          <w:highlight w:val="none"/>
        </w:rPr>
        <w:t>14.招标文件的组成</w:t>
      </w:r>
      <w:bookmarkEnd w:id="59"/>
      <w:bookmarkEnd w:id="60"/>
      <w:bookmarkEnd w:id="61"/>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本招标文件包括：</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第一</w:t>
      </w:r>
      <w:r>
        <w:rPr>
          <w:rFonts w:hint="eastAsia" w:ascii="宋体" w:hAnsi="宋体" w:eastAsia="宋体" w:cs="宋体"/>
          <w:color w:val="auto"/>
          <w:szCs w:val="21"/>
          <w:highlight w:val="none"/>
          <w:lang w:val="en-US" w:eastAsia="zh-CN"/>
        </w:rPr>
        <w:t>篇</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招标文件正文</w:t>
      </w:r>
    </w:p>
    <w:p>
      <w:pPr>
        <w:spacing w:line="360" w:lineRule="auto"/>
        <w:ind w:firstLine="420" w:firstLineChars="20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第二</w:t>
      </w:r>
      <w:r>
        <w:rPr>
          <w:rFonts w:hint="eastAsia" w:ascii="宋体" w:hAnsi="宋体" w:eastAsia="宋体" w:cs="宋体"/>
          <w:color w:val="auto"/>
          <w:szCs w:val="21"/>
          <w:highlight w:val="none"/>
          <w:lang w:val="en-US" w:eastAsia="zh-CN"/>
        </w:rPr>
        <w:t>篇 管理要求</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第三</w:t>
      </w:r>
      <w:r>
        <w:rPr>
          <w:rFonts w:hint="eastAsia" w:ascii="宋体" w:hAnsi="宋体" w:eastAsia="宋体" w:cs="宋体"/>
          <w:color w:val="auto"/>
          <w:szCs w:val="21"/>
          <w:highlight w:val="none"/>
          <w:lang w:val="en-US" w:eastAsia="zh-CN"/>
        </w:rPr>
        <w:t>篇</w:t>
      </w:r>
      <w:r>
        <w:rPr>
          <w:rFonts w:hint="eastAsia" w:ascii="宋体" w:hAnsi="宋体" w:eastAsia="宋体" w:cs="宋体"/>
          <w:color w:val="auto"/>
          <w:szCs w:val="21"/>
          <w:highlight w:val="none"/>
        </w:rPr>
        <w:t xml:space="preserve"> 建设工程施工专业分包合同</w:t>
      </w:r>
      <w:r>
        <w:rPr>
          <w:rFonts w:hint="eastAsia" w:ascii="宋体" w:hAnsi="宋体" w:eastAsia="宋体" w:cs="宋体"/>
          <w:color w:val="auto"/>
          <w:szCs w:val="21"/>
          <w:highlight w:val="none"/>
          <w:lang w:val="en-US" w:eastAsia="zh-CN"/>
        </w:rPr>
        <w:t>范本</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注：招标人所作的澄清、修改等，构成招标文件的组成部分。</w:t>
      </w:r>
    </w:p>
    <w:p>
      <w:pPr>
        <w:pStyle w:val="30"/>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62" w:name="_Toc30069"/>
      <w:bookmarkStart w:id="63" w:name="_Toc31119"/>
      <w:bookmarkStart w:id="64" w:name="_Toc869"/>
      <w:r>
        <w:rPr>
          <w:rFonts w:hint="eastAsia" w:ascii="宋体" w:hAnsi="宋体" w:eastAsia="宋体" w:cs="宋体"/>
          <w:b/>
          <w:color w:val="auto"/>
          <w:sz w:val="24"/>
          <w:szCs w:val="24"/>
          <w:highlight w:val="none"/>
        </w:rPr>
        <w:t>15.招标文件的澄清</w:t>
      </w:r>
      <w:bookmarkEnd w:id="62"/>
      <w:bookmarkEnd w:id="63"/>
      <w:bookmarkEnd w:id="64"/>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15.1</w:t>
      </w:r>
      <w:r>
        <w:rPr>
          <w:rFonts w:hint="eastAsia" w:ascii="宋体" w:hAnsi="宋体"/>
          <w:color w:val="auto"/>
          <w:highlight w:val="none"/>
        </w:rPr>
        <w:t>投标人应仔细阅读和检查招标文件的全部内容</w:t>
      </w:r>
      <w:r>
        <w:rPr>
          <w:rFonts w:hint="eastAsia" w:ascii="宋体" w:hAnsi="宋体"/>
          <w:color w:val="auto"/>
          <w:szCs w:val="21"/>
          <w:highlight w:val="none"/>
        </w:rPr>
        <w:t>，如果有问题需要招标人解释和答疑，应当在投标须知前附表要求的质疑提交时间内，以书面的形式（</w:t>
      </w:r>
      <w:r>
        <w:rPr>
          <w:rFonts w:hint="eastAsia" w:ascii="宋体" w:hAnsi="宋体"/>
          <w:color w:val="auto"/>
          <w:highlight w:val="none"/>
        </w:rPr>
        <w:t>包括信函、电报、传真等</w:t>
      </w:r>
      <w:r>
        <w:rPr>
          <w:rFonts w:hint="eastAsia" w:ascii="宋体" w:hAnsi="宋体"/>
          <w:color w:val="auto"/>
          <w:szCs w:val="21"/>
          <w:highlight w:val="none"/>
        </w:rPr>
        <w:t>）向招标人提出质疑文件</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云上营家招标的线上上传电子版PDF扫描件</w:t>
      </w:r>
      <w:r>
        <w:rPr>
          <w:rFonts w:hint="eastAsia" w:ascii="宋体" w:hAnsi="宋体"/>
          <w:color w:val="auto"/>
          <w:szCs w:val="21"/>
          <w:highlight w:val="none"/>
          <w:lang w:eastAsia="zh-CN"/>
        </w:rPr>
        <w:t>）</w:t>
      </w:r>
      <w:r>
        <w:rPr>
          <w:rFonts w:hint="eastAsia" w:ascii="宋体" w:hAnsi="宋体"/>
          <w:color w:val="auto"/>
          <w:szCs w:val="21"/>
          <w:highlight w:val="none"/>
        </w:rPr>
        <w:t>。</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15.2招标人将以书面形式答复所有获得招标文件的投标人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云上营家招标的线上回复</w:t>
      </w:r>
      <w:r>
        <w:rPr>
          <w:rFonts w:hint="eastAsia" w:ascii="宋体" w:hAnsi="宋体"/>
          <w:color w:val="auto"/>
          <w:szCs w:val="21"/>
          <w:highlight w:val="none"/>
          <w:lang w:eastAsia="zh-CN"/>
        </w:rPr>
        <w:t>）</w:t>
      </w:r>
      <w:r>
        <w:rPr>
          <w:rFonts w:hint="eastAsia" w:ascii="宋体" w:hAnsi="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15.3招标人针对招标文件所形成的答疑文件或补充招标文件是招标文件的组成部分，与招标文件具有同等效力。</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如果投标人发现招标文件中存在错误（包括但不限于：各个组成部分之间出现歧义或存在相互矛盾、打印错误等）时，投标人应按规定的时间与方式提出质疑文件。如果投标人在投标过程中未能发现并未对有关歧义、矛盾、错误提出质疑，中标后，中标人必须接受由招标人依据合同有关条款做出的书面解释。</w:t>
      </w:r>
    </w:p>
    <w:p>
      <w:pPr>
        <w:pStyle w:val="30"/>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65" w:name="_Toc28782"/>
      <w:bookmarkStart w:id="66" w:name="_Toc20536"/>
      <w:bookmarkStart w:id="67" w:name="_Toc25560"/>
      <w:r>
        <w:rPr>
          <w:rFonts w:hint="eastAsia" w:ascii="宋体" w:hAnsi="宋体" w:eastAsia="宋体" w:cs="宋体"/>
          <w:b/>
          <w:color w:val="auto"/>
          <w:sz w:val="24"/>
          <w:szCs w:val="24"/>
          <w:highlight w:val="none"/>
        </w:rPr>
        <w:t>16.招标文件的修改</w:t>
      </w:r>
      <w:bookmarkEnd w:id="65"/>
      <w:bookmarkEnd w:id="66"/>
      <w:bookmarkEnd w:id="67"/>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16.1招标人对已发出的招标文件进行必要的澄清和修改的，将在招标文件要求提交投标文件截止时间前，以书面形式通知所有招标文件收受人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当招标人对招标文件的澄清和修改其发出时间距离投标文件提交截止时间间隔太短，招标人应延长提交投标文件的截止时间。</w:t>
      </w:r>
      <w:r>
        <w:rPr>
          <w:rFonts w:hint="eastAsia" w:ascii="宋体" w:hAnsi="宋体" w:eastAsia="宋体" w:cs="宋体"/>
          <w:color w:val="auto"/>
          <w:szCs w:val="21"/>
          <w:highlight w:val="none"/>
        </w:rPr>
        <w:t>该澄清或者修改的内容为招标文件的组成部分。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16.2招标文件的补充文件将以书面的方式发给所有获得招标文件的投标人，并对他们起约束作用。投标人收到招标文件的任何补充文件后，应立即以书面的方式通知招标人，确认已经收到招标文件的补充文件。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如果招标人对招标文件进行了修改，当其认为有必要时或为国家有关法律法规所必须时，招标人应以书面形式通知所有获得招标文件的投标人延长其投标文件递交截止时间。收到通知后，投标人应当立即以书面的方式通知招标人，确认已经收到该通知。</w:t>
      </w:r>
    </w:p>
    <w:p>
      <w:pPr>
        <w:pStyle w:val="30"/>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68" w:name="_Toc15170"/>
      <w:bookmarkStart w:id="69" w:name="_Toc18858"/>
      <w:bookmarkStart w:id="70" w:name="_Toc20684"/>
      <w:r>
        <w:rPr>
          <w:rFonts w:hint="eastAsia" w:ascii="宋体" w:hAnsi="宋体" w:eastAsia="宋体" w:cs="宋体"/>
          <w:b/>
          <w:color w:val="auto"/>
          <w:sz w:val="24"/>
          <w:szCs w:val="24"/>
          <w:highlight w:val="none"/>
        </w:rPr>
        <w:t>17.投标文件的组成及编制</w:t>
      </w:r>
      <w:bookmarkEnd w:id="68"/>
      <w:bookmarkEnd w:id="69"/>
      <w:bookmarkEnd w:id="70"/>
    </w:p>
    <w:p>
      <w:pPr>
        <w:pStyle w:val="32"/>
        <w:spacing w:line="360" w:lineRule="auto"/>
        <w:ind w:firstLine="422" w:firstLineChars="200"/>
        <w:outlineLvl w:val="9"/>
        <w:rPr>
          <w:rFonts w:hint="eastAsia" w:ascii="宋体" w:hAnsi="宋体" w:eastAsia="宋体" w:cs="宋体"/>
          <w:b/>
          <w:color w:val="auto"/>
          <w:sz w:val="21"/>
          <w:szCs w:val="21"/>
          <w:highlight w:val="none"/>
        </w:rPr>
      </w:pPr>
      <w:bookmarkStart w:id="71" w:name="_Toc3453"/>
      <w:bookmarkStart w:id="72" w:name="_Toc20591"/>
      <w:bookmarkStart w:id="73" w:name="_Toc11197"/>
      <w:r>
        <w:rPr>
          <w:rFonts w:hint="eastAsia" w:ascii="宋体" w:hAnsi="宋体" w:eastAsia="宋体" w:cs="宋体"/>
          <w:b/>
          <w:color w:val="auto"/>
          <w:sz w:val="21"/>
          <w:szCs w:val="21"/>
          <w:highlight w:val="none"/>
        </w:rPr>
        <w:t>17.1投标文件应包括下列内容：</w:t>
      </w:r>
      <w:bookmarkEnd w:id="71"/>
      <w:bookmarkEnd w:id="72"/>
      <w:bookmarkEnd w:id="73"/>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（1）投标报价(唱标)一览表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（2）投标函</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（3）法定代表人身份证明</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（4）授权委托书</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（5）投标保证金缴纳凭证</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（6）投</w:t>
      </w:r>
      <w:r>
        <w:rPr>
          <w:rFonts w:hint="eastAsia" w:ascii="宋体" w:hAnsi="宋体" w:eastAsia="宋体" w:cs="宋体"/>
          <w:color w:val="auto"/>
          <w:highlight w:val="none"/>
        </w:rPr>
        <w:t>标单位基本情况</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（7）已标价工程量清单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（8）分包工程施工组织设计/方案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（9）项目经理简历表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（10）技术负责人简历表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（11）拟委任的其他主要管理人员表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（12）投标单位业绩</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（13）承诺书</w:t>
      </w:r>
    </w:p>
    <w:p>
      <w:pPr>
        <w:bidi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关于严禁采取停工、围堵等恶劣方式解决合同纠纷的承诺函</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关于农民工实名制管理的承诺函</w:t>
      </w:r>
    </w:p>
    <w:p>
      <w:pPr>
        <w:pStyle w:val="32"/>
        <w:spacing w:line="360" w:lineRule="auto"/>
        <w:ind w:firstLine="422" w:firstLineChars="200"/>
        <w:outlineLvl w:val="9"/>
        <w:rPr>
          <w:rFonts w:hint="eastAsia" w:ascii="宋体" w:hAnsi="宋体" w:eastAsia="宋体" w:cs="宋体"/>
          <w:b/>
          <w:color w:val="auto"/>
          <w:sz w:val="21"/>
          <w:szCs w:val="21"/>
          <w:highlight w:val="none"/>
        </w:rPr>
      </w:pPr>
      <w:bookmarkStart w:id="74" w:name="_Toc3953"/>
      <w:bookmarkStart w:id="75" w:name="_Toc30564"/>
      <w:bookmarkStart w:id="76" w:name="_Toc29156"/>
      <w:r>
        <w:rPr>
          <w:rFonts w:hint="eastAsia" w:ascii="宋体" w:hAnsi="宋体" w:eastAsia="宋体" w:cs="宋体"/>
          <w:b/>
          <w:color w:val="auto"/>
          <w:sz w:val="21"/>
          <w:szCs w:val="21"/>
          <w:highlight w:val="none"/>
        </w:rPr>
        <w:t>17.2投标文件的编制</w:t>
      </w:r>
      <w:bookmarkEnd w:id="74"/>
      <w:bookmarkEnd w:id="75"/>
      <w:bookmarkEnd w:id="76"/>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17.2.1投标文件应按第七章“专业分包投标文件格式”进行编写，如有必要，可以增加附页，作为投标文件的组成部分。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17.2.2 投标文件应当对招标文件有关工期、投标有效期、质量要求、安全文明施工要求、技术标准和要求、招标范围等实质性内容作出响应。</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17.2.3投标文件应用不褪色的材料书写或打印，并由投标人的法定代表人或其委托代理人</w:t>
      </w:r>
      <w:r>
        <w:rPr>
          <w:rFonts w:hint="eastAsia" w:ascii="宋体" w:hAnsi="宋体" w:eastAsia="宋体" w:cs="宋体"/>
          <w:color w:val="auto"/>
          <w:szCs w:val="21"/>
          <w:highlight w:val="none"/>
          <w:lang w:val="en-US" w:eastAsia="zh-CN"/>
        </w:rPr>
        <w:t>按招标文件的要求</w:t>
      </w:r>
      <w:r>
        <w:rPr>
          <w:rFonts w:hint="eastAsia" w:ascii="宋体" w:hAnsi="宋体" w:eastAsia="宋体" w:cs="宋体"/>
          <w:color w:val="auto"/>
          <w:szCs w:val="21"/>
          <w:highlight w:val="none"/>
        </w:rPr>
        <w:t>签字</w:t>
      </w:r>
      <w:r>
        <w:rPr>
          <w:rFonts w:hint="eastAsia" w:ascii="宋体" w:hAnsi="宋体" w:eastAsia="宋体" w:cs="宋体"/>
          <w:color w:val="auto"/>
          <w:szCs w:val="21"/>
          <w:highlight w:val="none"/>
          <w:lang w:val="en-US" w:eastAsia="zh-CN"/>
        </w:rPr>
        <w:t>和</w:t>
      </w:r>
      <w:r>
        <w:rPr>
          <w:rFonts w:hint="eastAsia" w:ascii="宋体" w:hAnsi="宋体" w:eastAsia="宋体" w:cs="宋体"/>
          <w:color w:val="auto"/>
          <w:szCs w:val="21"/>
          <w:highlight w:val="none"/>
        </w:rPr>
        <w:t>盖章。委托代理人签字的，投标文件应附法定代表人签署的授权委托书。投标文件应尽量避免涂改、行间插字或删除。如果出现上述情况，改动之处应加盖单位章</w:t>
      </w:r>
      <w:r>
        <w:rPr>
          <w:rFonts w:hint="eastAsia" w:ascii="宋体" w:hAnsi="宋体" w:eastAsia="宋体" w:cs="宋体"/>
          <w:color w:val="auto"/>
          <w:szCs w:val="21"/>
          <w:highlight w:val="none"/>
          <w:lang w:val="en-US" w:eastAsia="zh-CN"/>
        </w:rPr>
        <w:t>并</w:t>
      </w:r>
      <w:r>
        <w:rPr>
          <w:rFonts w:hint="eastAsia" w:ascii="宋体" w:hAnsi="宋体" w:eastAsia="宋体" w:cs="宋体"/>
          <w:color w:val="auto"/>
          <w:szCs w:val="21"/>
          <w:highlight w:val="none"/>
        </w:rPr>
        <w:t xml:space="preserve">由投标人的法定代表人或其授权的代理人签字确认。签字或盖章的具体要求见投标人须知前附表。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17.2.4投标报价的相关要求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（1）投标人应按第四章“工程量清单”的要求填写相应表格。</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（2）投标人在投标截止时间前修改投标函中的投标总报价，应同时修改第四章“工程量清单”中的相应报价。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（3）签定合同后/或在合同执行期间，如根据合同文件所认可之工程变更等而导致工程量有所增减时，均须按合同工程量清单的单价及有关优惠折扣来调整合同金额。</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（4）若投标人进行不平衡报价，一经查实，评标过程中及合同实施过程中均按最不利于投标人的方式进行处理，合同谈判、签订时及合同实施过程中招标人有权依据行业计价标准或市场标准进行修正。</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17.2.5投标文件的密封和标记</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（1）投标文件密封要求：详见投标须知前附表。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（2）投标文件封套标记要求：详见投标须知前附表。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（3）未按17.2.5条（1）、（2）要求密封和加写标记的投标文件，招标人不予受理。</w:t>
      </w:r>
    </w:p>
    <w:p>
      <w:pPr>
        <w:pStyle w:val="30"/>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77" w:name="_Toc14577"/>
      <w:bookmarkStart w:id="78" w:name="_Toc25769"/>
      <w:bookmarkStart w:id="79" w:name="_Toc24121"/>
      <w:r>
        <w:rPr>
          <w:rFonts w:hint="eastAsia" w:ascii="宋体" w:hAnsi="宋体" w:eastAsia="宋体" w:cs="宋体"/>
          <w:b/>
          <w:color w:val="auto"/>
          <w:sz w:val="24"/>
          <w:szCs w:val="24"/>
          <w:highlight w:val="none"/>
        </w:rPr>
        <w:t>18.开标</w:t>
      </w:r>
      <w:bookmarkEnd w:id="77"/>
      <w:bookmarkEnd w:id="78"/>
      <w:bookmarkEnd w:id="79"/>
    </w:p>
    <w:p>
      <w:pPr>
        <w:spacing w:line="360" w:lineRule="auto"/>
        <w:ind w:firstLine="420" w:firstLineChars="200"/>
        <w:rPr>
          <w:rFonts w:hint="eastAsia" w:ascii="宋体" w:hAnsi="宋体" w:eastAsia="宋体" w:cs="宋体"/>
          <w:color w:val="auto"/>
          <w:szCs w:val="22"/>
          <w:highlight w:val="none"/>
        </w:rPr>
      </w:pPr>
      <w:r>
        <w:rPr>
          <w:rFonts w:hint="eastAsia" w:ascii="宋体" w:hAnsi="宋体" w:eastAsia="宋体" w:cs="宋体"/>
          <w:color w:val="auto"/>
          <w:szCs w:val="21"/>
          <w:highlight w:val="none"/>
        </w:rPr>
        <w:t>18.</w:t>
      </w:r>
      <w:r>
        <w:rPr>
          <w:rFonts w:hint="eastAsia" w:ascii="宋体" w:hAnsi="宋体" w:eastAsia="宋体" w:cs="宋体"/>
          <w:color w:val="auto"/>
          <w:szCs w:val="22"/>
          <w:highlight w:val="none"/>
        </w:rPr>
        <w:t>1开标时间和地点</w:t>
      </w:r>
    </w:p>
    <w:p>
      <w:pPr>
        <w:pStyle w:val="2"/>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线上：按云上营家系统操作提示进行</w:t>
      </w:r>
    </w:p>
    <w:p>
      <w:pPr>
        <w:spacing w:line="360" w:lineRule="auto"/>
        <w:ind w:firstLine="420" w:firstLineChars="200"/>
        <w:rPr>
          <w:rFonts w:hint="eastAsia" w:ascii="宋体" w:hAnsi="宋体" w:eastAsia="宋体" w:cs="宋体"/>
          <w:color w:val="auto"/>
          <w:szCs w:val="22"/>
          <w:highlight w:val="none"/>
        </w:rPr>
      </w:pPr>
      <w:r>
        <w:rPr>
          <w:rFonts w:hint="eastAsia" w:ascii="宋体" w:hAnsi="宋体" w:eastAsia="宋体" w:cs="宋体"/>
          <w:color w:val="auto"/>
          <w:highlight w:val="none"/>
        </w:rPr>
        <w:t>18.2</w:t>
      </w:r>
      <w:r>
        <w:rPr>
          <w:rFonts w:hint="eastAsia" w:ascii="宋体" w:hAnsi="宋体" w:eastAsia="宋体" w:cs="宋体"/>
          <w:color w:val="auto"/>
          <w:szCs w:val="22"/>
          <w:highlight w:val="none"/>
        </w:rPr>
        <w:t>开标程序</w:t>
      </w:r>
    </w:p>
    <w:p>
      <w:pPr>
        <w:pStyle w:val="2"/>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线上：按云上营家系统操作提示进行</w:t>
      </w:r>
      <w:bookmarkStart w:id="80" w:name="_Toc23962"/>
      <w:bookmarkStart w:id="81" w:name="_Toc12758"/>
      <w:bookmarkStart w:id="82" w:name="_Toc26638"/>
    </w:p>
    <w:p>
      <w:pPr>
        <w:pStyle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19.投标文件的澄清</w:t>
      </w:r>
      <w:bookmarkEnd w:id="80"/>
      <w:bookmarkEnd w:id="81"/>
      <w:bookmarkEnd w:id="82"/>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19.1招标人有权要求投标人澄清其投标文件的</w:t>
      </w:r>
      <w:r>
        <w:rPr>
          <w:rFonts w:hint="eastAsia" w:ascii="宋体" w:hAnsi="宋体" w:eastAsia="宋体" w:cs="宋体"/>
          <w:color w:val="auto"/>
          <w:szCs w:val="21"/>
          <w:highlight w:val="none"/>
          <w:lang w:val="en-US" w:eastAsia="zh-CN"/>
        </w:rPr>
        <w:t>所有内容</w:t>
      </w:r>
      <w:r>
        <w:rPr>
          <w:rFonts w:hint="eastAsia" w:ascii="宋体" w:hAnsi="宋体" w:eastAsia="宋体" w:cs="宋体"/>
          <w:color w:val="auto"/>
          <w:szCs w:val="21"/>
          <w:highlight w:val="none"/>
        </w:rPr>
        <w:t>。有关澄清的要求与答复应以书面方式或以询标的形式进行。但这些要求、答复不应寻求、提出或允许更改投标文件中的实质性内容。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投标人应做好参加投标文件询标的一切必要准备，以便在招标人认为有必要进行投标文件询标并以书面方式通知各投标人后，投标人能及时参加询标；可能的询标将在本招标工程开标后至本招标工程决标前的任何时间举行，招标人将至少会提前24 小时以书面方式通知各投标人询标的时间、地点和参加人员等。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19.3如果投标人未能按时出席或拒绝出席招标人以书面形式通知的投标文件询标或项目经理答辩会，投标人将会失去中标的机会。</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19.4在澄清过程中，如果招标人并未增加工作内容、扩大承包范围、提高工艺和材料档次，也未提出实质性加重了投标人责任的条款，而投标人无理由上调投标总价的投标人将丧失中标机会。</w:t>
      </w:r>
    </w:p>
    <w:p>
      <w:pPr>
        <w:pStyle w:val="30"/>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83" w:name="_Toc15100"/>
      <w:bookmarkStart w:id="84" w:name="_Toc10468"/>
      <w:bookmarkStart w:id="85" w:name="_Toc7055"/>
      <w:r>
        <w:rPr>
          <w:rFonts w:hint="eastAsia" w:ascii="宋体" w:hAnsi="宋体" w:eastAsia="宋体" w:cs="宋体"/>
          <w:b/>
          <w:color w:val="auto"/>
          <w:sz w:val="24"/>
          <w:szCs w:val="24"/>
          <w:highlight w:val="none"/>
        </w:rPr>
        <w:t>20. 评标</w:t>
      </w:r>
      <w:bookmarkEnd w:id="83"/>
      <w:bookmarkEnd w:id="84"/>
      <w:bookmarkEnd w:id="85"/>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20.1评标委员会由招标人组成，负责评标活动。评标委员会成员应包含技术、经济等方面的专家。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20.2评标活动遵循公平、公正、科学和择优的原则，结合工程技术实力、工期保证、投标报价、质量保障服务、合同履约能力、企业信誉、资金等条件进行综合考虑择优评选中标人。</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rPr>
        <w:t>20.3评标过程中，招标人有权要求投标人澄清或者说明其投标文件中含义不明确的内容，但有关澄清或者说明，不允许对报价或者其它实质性内容进行更改。</w:t>
      </w:r>
    </w:p>
    <w:p>
      <w:pPr>
        <w:pStyle w:val="30"/>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86" w:name="_Toc10796"/>
      <w:bookmarkStart w:id="87" w:name="_Toc13169"/>
      <w:bookmarkStart w:id="88" w:name="_Toc22118"/>
      <w:r>
        <w:rPr>
          <w:rFonts w:hint="eastAsia" w:ascii="宋体" w:hAnsi="宋体" w:eastAsia="宋体" w:cs="宋体"/>
          <w:b/>
          <w:color w:val="auto"/>
          <w:sz w:val="24"/>
          <w:szCs w:val="24"/>
          <w:highlight w:val="none"/>
        </w:rPr>
        <w:t>21.中标通知书</w:t>
      </w:r>
      <w:bookmarkEnd w:id="86"/>
      <w:bookmarkEnd w:id="87"/>
      <w:bookmarkEnd w:id="88"/>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21.1招标人确定出中标人后，将</w:t>
      </w:r>
      <w:r>
        <w:rPr>
          <w:rFonts w:hint="eastAsia" w:ascii="宋体" w:hAnsi="宋体" w:eastAsia="宋体" w:cs="宋体"/>
          <w:color w:val="auto"/>
          <w:highlight w:val="none"/>
        </w:rPr>
        <w:t>向中标人发出中标通知书，并将中标结果</w:t>
      </w:r>
      <w:r>
        <w:rPr>
          <w:rFonts w:hint="eastAsia" w:ascii="宋体" w:hAnsi="宋体" w:eastAsia="宋体" w:cs="宋体"/>
          <w:color w:val="auto"/>
          <w:highlight w:val="none"/>
          <w:lang w:val="en-US" w:eastAsia="zh-CN"/>
        </w:rPr>
        <w:t>通知</w:t>
      </w:r>
      <w:r>
        <w:rPr>
          <w:rFonts w:hint="eastAsia" w:ascii="宋体" w:hAnsi="宋体" w:eastAsia="宋体" w:cs="宋体"/>
          <w:color w:val="auto"/>
          <w:highlight w:val="none"/>
        </w:rPr>
        <w:t>所有未中标的投标人</w:t>
      </w:r>
      <w:r>
        <w:rPr>
          <w:rFonts w:hint="eastAsia" w:ascii="宋体" w:hAnsi="宋体" w:eastAsia="宋体" w:cs="宋体"/>
          <w:color w:val="auto"/>
          <w:szCs w:val="21"/>
          <w:highlight w:val="none"/>
        </w:rPr>
        <w:t>。招标人发出的中标通知书不代表双方之间的合同关系已成立，双方之间合同关系应在双方按规定签定《建设工程施工专业分包合同》后成立。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21.2中标通知书将在《建设工程施工专业分包合同》最终签署后成为合同的组成部分。</w:t>
      </w:r>
    </w:p>
    <w:p>
      <w:pPr>
        <w:pStyle w:val="30"/>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89" w:name="_Toc1256"/>
      <w:bookmarkStart w:id="90" w:name="_Toc23333"/>
      <w:bookmarkStart w:id="91" w:name="_Toc13767"/>
      <w:r>
        <w:rPr>
          <w:rFonts w:hint="eastAsia" w:ascii="宋体" w:hAnsi="宋体" w:eastAsia="宋体" w:cs="宋体"/>
          <w:b/>
          <w:color w:val="auto"/>
          <w:sz w:val="24"/>
          <w:szCs w:val="24"/>
          <w:highlight w:val="none"/>
        </w:rPr>
        <w:t>22.履约担保</w:t>
      </w:r>
      <w:bookmarkEnd w:id="89"/>
      <w:bookmarkEnd w:id="90"/>
      <w:bookmarkEnd w:id="91"/>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22.1在签订合同前，中标人应按投标须知前附表规定的金额、担保形式向招标人提交履约担保。</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22.2 中标人不能按本章第2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.1项要求提交履约担保的，视为放弃中标，其投标保证金不予退还，给招标人造成的损失超过投标保证金数额的，中标人还应当对超过部分予以赔偿。</w:t>
      </w:r>
    </w:p>
    <w:p>
      <w:pPr>
        <w:pStyle w:val="30"/>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92" w:name="_Toc25811"/>
      <w:bookmarkStart w:id="93" w:name="_Toc27969"/>
      <w:bookmarkStart w:id="94" w:name="_Toc16315"/>
      <w:r>
        <w:rPr>
          <w:rFonts w:hint="eastAsia" w:ascii="宋体" w:hAnsi="宋体" w:eastAsia="宋体" w:cs="宋体"/>
          <w:b/>
          <w:color w:val="auto"/>
          <w:sz w:val="24"/>
          <w:szCs w:val="24"/>
          <w:highlight w:val="none"/>
        </w:rPr>
        <w:t>23.合同的签订</w:t>
      </w:r>
      <w:bookmarkEnd w:id="92"/>
      <w:bookmarkEnd w:id="93"/>
      <w:bookmarkEnd w:id="94"/>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招标人向中标人发出中标通知书之日起30日内，中标人按投标须知前附表规定提交履约担保后与招标人订立书面合同。中标人无正当理由拒签合同的，招标人取消其中标资格，其投标保证金不予退还；给招标人造成的损失超过投标保证金数额的，中标人还应当对超过部分予以赔偿。 </w:t>
      </w:r>
    </w:p>
    <w:p>
      <w:pPr>
        <w:pStyle w:val="30"/>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95" w:name="_Toc28216"/>
      <w:bookmarkStart w:id="96" w:name="_Toc30226"/>
      <w:r>
        <w:rPr>
          <w:rFonts w:hint="eastAsia" w:ascii="宋体" w:hAnsi="宋体" w:eastAsia="宋体" w:cs="宋体"/>
          <w:b/>
          <w:color w:val="auto"/>
          <w:sz w:val="24"/>
          <w:szCs w:val="24"/>
          <w:highlight w:val="none"/>
        </w:rPr>
        <w:t>24.重新招标</w:t>
      </w:r>
      <w:bookmarkEnd w:id="95"/>
      <w:bookmarkEnd w:id="96"/>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有下列情形之一的，招标人应当重新招标：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（l）在投标截止时间前提交投标文件的投标人少于三个的；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（2）评标委员会否决不合格投标或者界定为废标后，因有效投标不足三个的；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（3）中标候选人未与招标人签订合同的。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重新招标后有效投标人仍少于3 个的，经原审批部门批准后可以不</w:t>
      </w:r>
      <w:r>
        <w:rPr>
          <w:rFonts w:hint="eastAsia" w:ascii="宋体" w:hAnsi="宋体" w:eastAsia="宋体" w:cs="宋体"/>
          <w:color w:val="auto"/>
          <w:szCs w:val="21"/>
          <w:highlight w:val="none"/>
          <w:lang w:val="en-US" w:eastAsia="zh-CN"/>
        </w:rPr>
        <w:t>再</w:t>
      </w:r>
      <w:r>
        <w:rPr>
          <w:rFonts w:hint="eastAsia" w:ascii="宋体" w:hAnsi="宋体" w:eastAsia="宋体" w:cs="宋体"/>
          <w:color w:val="auto"/>
          <w:szCs w:val="21"/>
          <w:highlight w:val="none"/>
        </w:rPr>
        <w:t>进行招标。</w:t>
      </w:r>
    </w:p>
    <w:p>
      <w:pPr>
        <w:pStyle w:val="30"/>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97" w:name="_Toc9768"/>
      <w:bookmarkStart w:id="98" w:name="_Toc19920"/>
      <w:bookmarkStart w:id="99" w:name="_Toc29312"/>
      <w:r>
        <w:rPr>
          <w:rFonts w:hint="eastAsia" w:ascii="宋体" w:hAnsi="宋体" w:eastAsia="宋体" w:cs="宋体"/>
          <w:b/>
          <w:color w:val="auto"/>
          <w:sz w:val="24"/>
          <w:szCs w:val="24"/>
          <w:highlight w:val="none"/>
        </w:rPr>
        <w:t>25.廉洁建设</w:t>
      </w:r>
      <w:bookmarkEnd w:id="97"/>
      <w:bookmarkEnd w:id="98"/>
      <w:bookmarkEnd w:id="99"/>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不得以任何方式邀请招标人工作人员吃饭、喝酒、娱乐或进行其他消费，不得以任何形式向招标人工作人员赠送财物，也不得以其他方式给予招标人工作人员好处；否则招标人有权取消投标人投标资格或者废除授标，并没收其投标保证金，给招标人造成的损失超过投标保证金数额的，还应当对超过部分予以赔偿。</w:t>
      </w:r>
    </w:p>
    <w:p>
      <w:pPr>
        <w:numPr>
          <w:ilvl w:val="0"/>
          <w:numId w:val="0"/>
        </w:numPr>
        <w:bidi w:val="0"/>
        <w:ind w:firstLine="482" w:firstLineChars="200"/>
        <w:outlineLvl w:val="3"/>
        <w:rPr>
          <w:rFonts w:hint="eastAsia"/>
          <w:b/>
          <w:bCs/>
          <w:color w:val="auto"/>
          <w:sz w:val="24"/>
          <w:szCs w:val="32"/>
          <w:highlight w:val="none"/>
          <w:lang w:val="en-US" w:eastAsia="zh-CN"/>
        </w:rPr>
      </w:pPr>
      <w:bookmarkStart w:id="100" w:name="_Toc21990"/>
      <w:bookmarkStart w:id="101" w:name="_Toc12336"/>
      <w:bookmarkStart w:id="102" w:name="_Toc1919"/>
      <w:r>
        <w:rPr>
          <w:rFonts w:hint="eastAsia"/>
          <w:b/>
          <w:bCs/>
          <w:color w:val="auto"/>
          <w:sz w:val="24"/>
          <w:szCs w:val="32"/>
          <w:highlight w:val="none"/>
          <w:lang w:val="en-US" w:eastAsia="zh-CN"/>
        </w:rPr>
        <w:t>26.质疑处理</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26</w:t>
      </w:r>
      <w:r>
        <w:rPr>
          <w:rFonts w:hint="eastAsia" w:ascii="宋体" w:hAnsi="宋体" w:eastAsia="宋体" w:cs="Times New Roman"/>
          <w:color w:val="auto"/>
          <w:szCs w:val="21"/>
          <w:highlight w:val="none"/>
          <w:lang w:val="en-US" w:eastAsia="zh-CN"/>
        </w:rPr>
        <w:t>.1</w:t>
      </w:r>
      <w:r>
        <w:rPr>
          <w:rFonts w:hint="default" w:ascii="宋体" w:hAnsi="宋体" w:eastAsia="宋体" w:cs="Times New Roman"/>
          <w:color w:val="auto"/>
          <w:szCs w:val="21"/>
          <w:highlight w:val="none"/>
          <w:lang w:val="en-US" w:eastAsia="zh-CN"/>
        </w:rPr>
        <w:t>潜在投标人或者其他利害关系人对招标文件有异议的，参与</w:t>
      </w:r>
      <w:r>
        <w:rPr>
          <w:rFonts w:hint="eastAsia" w:ascii="宋体" w:hAnsi="宋体" w:cs="Times New Roman"/>
          <w:color w:val="auto"/>
          <w:szCs w:val="21"/>
          <w:highlight w:val="none"/>
          <w:lang w:val="en-US" w:eastAsia="zh-CN"/>
        </w:rPr>
        <w:t>招投标活动</w:t>
      </w:r>
      <w:r>
        <w:rPr>
          <w:rFonts w:hint="default" w:ascii="宋体" w:hAnsi="宋体" w:eastAsia="宋体" w:cs="Times New Roman"/>
          <w:color w:val="auto"/>
          <w:szCs w:val="21"/>
          <w:highlight w:val="none"/>
          <w:lang w:val="en-US" w:eastAsia="zh-CN"/>
        </w:rPr>
        <w:t>的</w:t>
      </w:r>
      <w:r>
        <w:rPr>
          <w:rFonts w:hint="eastAsia" w:ascii="宋体" w:hAnsi="宋体" w:cs="Times New Roman"/>
          <w:color w:val="auto"/>
          <w:szCs w:val="21"/>
          <w:highlight w:val="none"/>
          <w:lang w:val="en-US" w:eastAsia="zh-CN"/>
        </w:rPr>
        <w:t>投标人</w:t>
      </w:r>
      <w:r>
        <w:rPr>
          <w:rFonts w:hint="default" w:ascii="宋体" w:hAnsi="宋体" w:eastAsia="宋体" w:cs="Times New Roman"/>
          <w:color w:val="auto"/>
          <w:szCs w:val="21"/>
          <w:highlight w:val="none"/>
          <w:lang w:val="en-US" w:eastAsia="zh-CN"/>
        </w:rPr>
        <w:t>或其他利害关系人认为本次</w:t>
      </w:r>
      <w:r>
        <w:rPr>
          <w:rFonts w:hint="eastAsia" w:ascii="宋体" w:hAnsi="宋体" w:cs="Times New Roman"/>
          <w:color w:val="auto"/>
          <w:szCs w:val="21"/>
          <w:highlight w:val="none"/>
          <w:lang w:val="en-US" w:eastAsia="zh-CN"/>
        </w:rPr>
        <w:t>招投标</w:t>
      </w:r>
      <w:r>
        <w:rPr>
          <w:rFonts w:hint="default" w:ascii="宋体" w:hAnsi="宋体" w:eastAsia="宋体" w:cs="Times New Roman"/>
          <w:color w:val="auto"/>
          <w:szCs w:val="21"/>
          <w:highlight w:val="none"/>
          <w:lang w:val="en-US" w:eastAsia="zh-CN"/>
        </w:rPr>
        <w:t>活动不符合集团管理规定的，可以自知道或应当知道之日起3日内向监督部门投诉。监督部门的联系方式见投标人须知前附表。</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26</w:t>
      </w:r>
      <w:r>
        <w:rPr>
          <w:rFonts w:hint="eastAsia" w:ascii="宋体" w:hAnsi="宋体" w:eastAsia="宋体" w:cs="Times New Roman"/>
          <w:color w:val="auto"/>
          <w:szCs w:val="21"/>
          <w:highlight w:val="none"/>
          <w:lang w:val="en-US" w:eastAsia="zh-CN"/>
        </w:rPr>
        <w:t>.2</w:t>
      </w:r>
      <w:r>
        <w:rPr>
          <w:rFonts w:hint="default" w:ascii="宋体" w:hAnsi="宋体" w:eastAsia="宋体" w:cs="Times New Roman"/>
          <w:color w:val="auto"/>
          <w:szCs w:val="21"/>
          <w:highlight w:val="none"/>
          <w:lang w:val="en-US" w:eastAsia="zh-CN"/>
        </w:rPr>
        <w:t>投标人对开标过程有异议的，应当在开标现场提出，有异议的</w:t>
      </w:r>
      <w:r>
        <w:rPr>
          <w:rFonts w:hint="eastAsia" w:ascii="宋体" w:hAnsi="宋体" w:cs="Times New Roman"/>
          <w:color w:val="auto"/>
          <w:szCs w:val="21"/>
          <w:highlight w:val="none"/>
          <w:lang w:val="en-US" w:eastAsia="zh-CN"/>
        </w:rPr>
        <w:t>投标人</w:t>
      </w:r>
      <w:r>
        <w:rPr>
          <w:rFonts w:hint="default" w:ascii="宋体" w:hAnsi="宋体" w:eastAsia="宋体" w:cs="Times New Roman"/>
          <w:color w:val="auto"/>
          <w:szCs w:val="21"/>
          <w:highlight w:val="none"/>
          <w:lang w:val="en-US" w:eastAsia="zh-CN"/>
        </w:rPr>
        <w:t>代表、招标人代表、记录人、监督人等有关人员在记录上签字确认。</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26</w:t>
      </w:r>
      <w:r>
        <w:rPr>
          <w:rFonts w:hint="eastAsia" w:ascii="宋体" w:hAnsi="宋体" w:eastAsia="宋体" w:cs="Times New Roman"/>
          <w:color w:val="auto"/>
          <w:szCs w:val="21"/>
          <w:highlight w:val="none"/>
          <w:lang w:val="en-US" w:eastAsia="zh-CN"/>
        </w:rPr>
        <w:t>.3</w:t>
      </w:r>
      <w:r>
        <w:rPr>
          <w:rFonts w:hint="default" w:ascii="宋体" w:hAnsi="宋体" w:eastAsia="宋体" w:cs="Times New Roman"/>
          <w:color w:val="auto"/>
          <w:szCs w:val="21"/>
          <w:highlight w:val="none"/>
          <w:lang w:val="en-US" w:eastAsia="zh-CN"/>
        </w:rPr>
        <w:t>参与</w:t>
      </w:r>
      <w:r>
        <w:rPr>
          <w:rFonts w:hint="eastAsia" w:ascii="宋体" w:hAnsi="宋体" w:cs="Times New Roman"/>
          <w:color w:val="auto"/>
          <w:szCs w:val="21"/>
          <w:highlight w:val="none"/>
          <w:lang w:val="en-US" w:eastAsia="zh-CN"/>
        </w:rPr>
        <w:t>投标</w:t>
      </w:r>
      <w:r>
        <w:rPr>
          <w:rFonts w:hint="default" w:ascii="宋体" w:hAnsi="宋体" w:eastAsia="宋体" w:cs="Times New Roman"/>
          <w:color w:val="auto"/>
          <w:szCs w:val="21"/>
          <w:highlight w:val="none"/>
          <w:lang w:val="en-US" w:eastAsia="zh-CN"/>
        </w:rPr>
        <w:t>的</w:t>
      </w:r>
      <w:r>
        <w:rPr>
          <w:rFonts w:hint="eastAsia" w:ascii="宋体" w:hAnsi="宋体" w:cs="Times New Roman"/>
          <w:color w:val="auto"/>
          <w:szCs w:val="21"/>
          <w:highlight w:val="none"/>
          <w:lang w:val="en-US" w:eastAsia="zh-CN"/>
        </w:rPr>
        <w:t>投标人</w:t>
      </w:r>
      <w:r>
        <w:rPr>
          <w:rFonts w:hint="default" w:ascii="宋体" w:hAnsi="宋体" w:eastAsia="宋体" w:cs="Times New Roman"/>
          <w:color w:val="auto"/>
          <w:szCs w:val="21"/>
          <w:highlight w:val="none"/>
          <w:lang w:val="en-US" w:eastAsia="zh-CN"/>
        </w:rPr>
        <w:t>或其他利害关系人对招标项目的评标结果有异议的，应在收到评标结果后2日内提出。招标人将在收到异议之日起2日内作出答复；作出答复前，将暂缓中标通知书发放。</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26</w:t>
      </w:r>
      <w:r>
        <w:rPr>
          <w:rFonts w:hint="eastAsia" w:ascii="宋体" w:hAnsi="宋体" w:eastAsia="宋体" w:cs="Times New Roman"/>
          <w:color w:val="auto"/>
          <w:szCs w:val="21"/>
          <w:highlight w:val="none"/>
          <w:lang w:val="en-US" w:eastAsia="zh-CN"/>
        </w:rPr>
        <w:t>.4</w:t>
      </w:r>
      <w:r>
        <w:rPr>
          <w:rFonts w:hint="default" w:ascii="宋体" w:hAnsi="宋体" w:eastAsia="宋体" w:cs="Times New Roman"/>
          <w:color w:val="auto"/>
          <w:szCs w:val="21"/>
          <w:highlight w:val="none"/>
          <w:lang w:val="en-US" w:eastAsia="zh-CN"/>
        </w:rPr>
        <w:t>投标企业提出的质疑应以书面形式，由法定代表人或其授权代表亲笔签字并加盖企业公章，连同相关证据材料一并提交采购代理。质疑函应包括：</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26</w:t>
      </w:r>
      <w:r>
        <w:rPr>
          <w:rFonts w:hint="eastAsia" w:ascii="宋体" w:hAnsi="宋体" w:eastAsia="宋体" w:cs="Times New Roman"/>
          <w:color w:val="auto"/>
          <w:szCs w:val="21"/>
          <w:highlight w:val="none"/>
          <w:lang w:val="en-US" w:eastAsia="zh-CN"/>
        </w:rPr>
        <w:t>.4.</w:t>
      </w:r>
      <w:r>
        <w:rPr>
          <w:rFonts w:hint="default" w:ascii="宋体" w:hAnsi="宋体" w:eastAsia="宋体" w:cs="Times New Roman"/>
          <w:color w:val="auto"/>
          <w:szCs w:val="21"/>
          <w:highlight w:val="none"/>
          <w:lang w:val="en-US" w:eastAsia="zh-CN"/>
        </w:rPr>
        <w:t>1投标企业名称、地址、邮编、联系人及联系电话；</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26</w:t>
      </w:r>
      <w:r>
        <w:rPr>
          <w:rFonts w:hint="eastAsia" w:ascii="宋体" w:hAnsi="宋体" w:eastAsia="宋体" w:cs="Times New Roman"/>
          <w:color w:val="auto"/>
          <w:szCs w:val="21"/>
          <w:highlight w:val="none"/>
          <w:lang w:val="en-US" w:eastAsia="zh-CN"/>
        </w:rPr>
        <w:t>.4.</w:t>
      </w:r>
      <w:r>
        <w:rPr>
          <w:rFonts w:hint="default" w:ascii="宋体" w:hAnsi="宋体" w:eastAsia="宋体" w:cs="Times New Roman"/>
          <w:color w:val="auto"/>
          <w:szCs w:val="21"/>
          <w:highlight w:val="none"/>
          <w:lang w:val="en-US" w:eastAsia="zh-CN"/>
        </w:rPr>
        <w:t>2质疑项目的名称、编号；</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26</w:t>
      </w:r>
      <w:r>
        <w:rPr>
          <w:rFonts w:hint="eastAsia" w:ascii="宋体" w:hAnsi="宋体" w:eastAsia="宋体" w:cs="Times New Roman"/>
          <w:color w:val="auto"/>
          <w:szCs w:val="21"/>
          <w:highlight w:val="none"/>
          <w:lang w:val="en-US" w:eastAsia="zh-CN"/>
        </w:rPr>
        <w:t>.4.</w:t>
      </w:r>
      <w:r>
        <w:rPr>
          <w:rFonts w:hint="default" w:ascii="宋体" w:hAnsi="宋体" w:eastAsia="宋体" w:cs="Times New Roman"/>
          <w:color w:val="auto"/>
          <w:szCs w:val="21"/>
          <w:highlight w:val="none"/>
          <w:lang w:val="en-US" w:eastAsia="zh-CN"/>
        </w:rPr>
        <w:t>3.具体、明确的质疑事项和与质疑事项相关的请求；</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26</w:t>
      </w:r>
      <w:r>
        <w:rPr>
          <w:rFonts w:hint="eastAsia" w:ascii="宋体" w:hAnsi="宋体" w:eastAsia="宋体" w:cs="Times New Roman"/>
          <w:color w:val="auto"/>
          <w:szCs w:val="21"/>
          <w:highlight w:val="none"/>
          <w:lang w:val="en-US" w:eastAsia="zh-CN"/>
        </w:rPr>
        <w:t>.4.</w:t>
      </w:r>
      <w:r>
        <w:rPr>
          <w:rFonts w:hint="default" w:ascii="宋体" w:hAnsi="宋体" w:eastAsia="宋体" w:cs="Times New Roman"/>
          <w:color w:val="auto"/>
          <w:szCs w:val="21"/>
          <w:highlight w:val="none"/>
          <w:lang w:val="en-US" w:eastAsia="zh-CN"/>
        </w:rPr>
        <w:t>4.事实依据；</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26</w:t>
      </w:r>
      <w:r>
        <w:rPr>
          <w:rFonts w:hint="eastAsia" w:ascii="宋体" w:hAnsi="宋体" w:eastAsia="宋体" w:cs="Times New Roman"/>
          <w:color w:val="auto"/>
          <w:szCs w:val="21"/>
          <w:highlight w:val="none"/>
          <w:lang w:val="en-US" w:eastAsia="zh-CN"/>
        </w:rPr>
        <w:t>.4.</w:t>
      </w:r>
      <w:r>
        <w:rPr>
          <w:rFonts w:hint="default" w:ascii="宋体" w:hAnsi="宋体" w:eastAsia="宋体" w:cs="Times New Roman"/>
          <w:color w:val="auto"/>
          <w:szCs w:val="21"/>
          <w:highlight w:val="none"/>
          <w:lang w:val="en-US" w:eastAsia="zh-CN"/>
        </w:rPr>
        <w:t>5必要的法律依据；</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26</w:t>
      </w:r>
      <w:r>
        <w:rPr>
          <w:rFonts w:hint="eastAsia" w:ascii="宋体" w:hAnsi="宋体" w:eastAsia="宋体" w:cs="Times New Roman"/>
          <w:color w:val="auto"/>
          <w:szCs w:val="21"/>
          <w:highlight w:val="none"/>
          <w:lang w:val="en-US" w:eastAsia="zh-CN"/>
        </w:rPr>
        <w:t>.4.</w:t>
      </w:r>
      <w:r>
        <w:rPr>
          <w:rFonts w:hint="default" w:ascii="宋体" w:hAnsi="宋体" w:eastAsia="宋体" w:cs="Times New Roman"/>
          <w:color w:val="auto"/>
          <w:szCs w:val="21"/>
          <w:highlight w:val="none"/>
          <w:lang w:val="en-US" w:eastAsia="zh-CN"/>
        </w:rPr>
        <w:t>6提出质疑的日期。</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26</w:t>
      </w:r>
      <w:r>
        <w:rPr>
          <w:rFonts w:hint="eastAsia" w:ascii="宋体" w:hAnsi="宋体" w:eastAsia="宋体" w:cs="Times New Roman"/>
          <w:color w:val="auto"/>
          <w:szCs w:val="21"/>
          <w:highlight w:val="none"/>
          <w:lang w:val="en-US" w:eastAsia="zh-CN"/>
        </w:rPr>
        <w:t>.5</w:t>
      </w:r>
      <w:r>
        <w:rPr>
          <w:rFonts w:hint="default" w:ascii="宋体" w:hAnsi="宋体" w:eastAsia="宋体" w:cs="Times New Roman"/>
          <w:color w:val="auto"/>
          <w:szCs w:val="21"/>
          <w:highlight w:val="none"/>
          <w:lang w:val="en-US" w:eastAsia="zh-CN"/>
        </w:rPr>
        <w:t>招标人对收到的质疑，按规定提出处理建议后，书面存档备案。</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26</w:t>
      </w:r>
      <w:r>
        <w:rPr>
          <w:rFonts w:hint="eastAsia" w:ascii="宋体" w:hAnsi="宋体" w:eastAsia="宋体" w:cs="Times New Roman"/>
          <w:color w:val="auto"/>
          <w:szCs w:val="21"/>
          <w:highlight w:val="none"/>
          <w:lang w:val="en-US" w:eastAsia="zh-CN"/>
        </w:rPr>
        <w:t>.6</w:t>
      </w:r>
      <w:r>
        <w:rPr>
          <w:rFonts w:hint="default" w:ascii="宋体" w:hAnsi="宋体" w:eastAsia="宋体" w:cs="Times New Roman"/>
          <w:color w:val="auto"/>
          <w:szCs w:val="21"/>
          <w:highlight w:val="none"/>
          <w:lang w:val="en-US" w:eastAsia="zh-CN"/>
        </w:rPr>
        <w:t>对于以下情形的项目质疑，招标人可不予受理，将书面质疑材料备案：</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26</w:t>
      </w:r>
      <w:r>
        <w:rPr>
          <w:rFonts w:hint="eastAsia" w:ascii="宋体" w:hAnsi="宋体" w:eastAsia="宋体" w:cs="Times New Roman"/>
          <w:color w:val="auto"/>
          <w:szCs w:val="21"/>
          <w:highlight w:val="none"/>
          <w:lang w:val="en-US" w:eastAsia="zh-CN"/>
        </w:rPr>
        <w:t>.6.</w:t>
      </w:r>
      <w:r>
        <w:rPr>
          <w:rFonts w:hint="default" w:ascii="宋体" w:hAnsi="宋体" w:eastAsia="宋体" w:cs="Times New Roman"/>
          <w:color w:val="auto"/>
          <w:szCs w:val="21"/>
          <w:highlight w:val="none"/>
          <w:lang w:val="en-US" w:eastAsia="zh-CN"/>
        </w:rPr>
        <w:t>1未在有效期内送达的；</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26</w:t>
      </w:r>
      <w:r>
        <w:rPr>
          <w:rFonts w:hint="eastAsia" w:ascii="宋体" w:hAnsi="宋体" w:eastAsia="宋体" w:cs="Times New Roman"/>
          <w:color w:val="auto"/>
          <w:szCs w:val="21"/>
          <w:highlight w:val="none"/>
          <w:lang w:val="en-US" w:eastAsia="zh-CN"/>
        </w:rPr>
        <w:t>.6.</w:t>
      </w:r>
      <w:r>
        <w:rPr>
          <w:rFonts w:hint="default" w:ascii="宋体" w:hAnsi="宋体" w:eastAsia="宋体" w:cs="Times New Roman"/>
          <w:color w:val="auto"/>
          <w:szCs w:val="21"/>
          <w:highlight w:val="none"/>
          <w:lang w:val="en-US" w:eastAsia="zh-CN"/>
        </w:rPr>
        <w:t>2参与采购活动以外其他单位提出的；</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26</w:t>
      </w:r>
      <w:r>
        <w:rPr>
          <w:rFonts w:hint="eastAsia" w:ascii="宋体" w:hAnsi="宋体" w:eastAsia="宋体" w:cs="Times New Roman"/>
          <w:color w:val="auto"/>
          <w:szCs w:val="21"/>
          <w:highlight w:val="none"/>
          <w:lang w:val="en-US" w:eastAsia="zh-CN"/>
        </w:rPr>
        <w:t>.6.</w:t>
      </w:r>
      <w:r>
        <w:rPr>
          <w:rFonts w:hint="default" w:ascii="宋体" w:hAnsi="宋体" w:eastAsia="宋体" w:cs="Times New Roman"/>
          <w:color w:val="auto"/>
          <w:szCs w:val="21"/>
          <w:highlight w:val="none"/>
          <w:lang w:val="en-US" w:eastAsia="zh-CN"/>
        </w:rPr>
        <w:t>3质疑材料无质疑单位法人亲笔签字或无合法公章的；</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26</w:t>
      </w:r>
      <w:r>
        <w:rPr>
          <w:rFonts w:hint="eastAsia" w:ascii="宋体" w:hAnsi="宋体" w:eastAsia="宋体" w:cs="Times New Roman"/>
          <w:color w:val="auto"/>
          <w:szCs w:val="21"/>
          <w:highlight w:val="none"/>
          <w:lang w:val="en-US" w:eastAsia="zh-CN"/>
        </w:rPr>
        <w:t>.6.</w:t>
      </w:r>
      <w:r>
        <w:rPr>
          <w:rFonts w:hint="default" w:ascii="宋体" w:hAnsi="宋体" w:eastAsia="宋体" w:cs="Times New Roman"/>
          <w:color w:val="auto"/>
          <w:szCs w:val="21"/>
          <w:highlight w:val="none"/>
          <w:lang w:val="en-US" w:eastAsia="zh-CN"/>
        </w:rPr>
        <w:t>4无明确内容、线索或相关证据材料的；</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26</w:t>
      </w:r>
      <w:r>
        <w:rPr>
          <w:rFonts w:hint="eastAsia" w:ascii="宋体" w:hAnsi="宋体" w:eastAsia="宋体" w:cs="Times New Roman"/>
          <w:color w:val="auto"/>
          <w:szCs w:val="21"/>
          <w:highlight w:val="none"/>
          <w:lang w:val="en-US" w:eastAsia="zh-CN"/>
        </w:rPr>
        <w:t>.6.</w:t>
      </w:r>
      <w:r>
        <w:rPr>
          <w:rFonts w:hint="default" w:ascii="宋体" w:hAnsi="宋体" w:eastAsia="宋体" w:cs="Times New Roman"/>
          <w:color w:val="auto"/>
          <w:szCs w:val="21"/>
          <w:highlight w:val="none"/>
          <w:lang w:val="en-US" w:eastAsia="zh-CN"/>
        </w:rPr>
        <w:t>5未提供任何证据的；</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26</w:t>
      </w:r>
      <w:r>
        <w:rPr>
          <w:rFonts w:hint="eastAsia" w:ascii="宋体" w:hAnsi="宋体" w:eastAsia="宋体" w:cs="Times New Roman"/>
          <w:color w:val="auto"/>
          <w:szCs w:val="21"/>
          <w:highlight w:val="none"/>
          <w:lang w:val="en-US" w:eastAsia="zh-CN"/>
        </w:rPr>
        <w:t>.6.</w:t>
      </w:r>
      <w:r>
        <w:rPr>
          <w:rFonts w:hint="default" w:ascii="宋体" w:hAnsi="宋体" w:eastAsia="宋体" w:cs="Times New Roman"/>
          <w:color w:val="auto"/>
          <w:szCs w:val="21"/>
          <w:highlight w:val="none"/>
          <w:lang w:val="en-US" w:eastAsia="zh-CN"/>
        </w:rPr>
        <w:t>6就同一事项再次提出质疑的。</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26</w:t>
      </w:r>
      <w:r>
        <w:rPr>
          <w:rFonts w:hint="eastAsia" w:ascii="宋体" w:hAnsi="宋体" w:eastAsia="宋体" w:cs="Times New Roman"/>
          <w:color w:val="auto"/>
          <w:szCs w:val="21"/>
          <w:highlight w:val="none"/>
          <w:lang w:val="en-US" w:eastAsia="zh-CN"/>
        </w:rPr>
        <w:t>.7</w:t>
      </w:r>
      <w:r>
        <w:rPr>
          <w:rFonts w:hint="default" w:ascii="宋体" w:hAnsi="宋体" w:eastAsia="宋体" w:cs="Times New Roman"/>
          <w:color w:val="auto"/>
          <w:szCs w:val="21"/>
          <w:highlight w:val="none"/>
          <w:lang w:val="en-US" w:eastAsia="zh-CN"/>
        </w:rPr>
        <w:t>经查实，中标候选企业存在弄虚作假等行为的，投标保证金保函不予退回，同时视情记录不良行为并提交行政监督主管部门给予行政处罚。</w:t>
      </w:r>
    </w:p>
    <w:p>
      <w:pPr>
        <w:spacing w:line="360" w:lineRule="auto"/>
        <w:ind w:firstLine="420" w:firstLineChars="200"/>
        <w:rPr>
          <w:rFonts w:hint="eastAsia" w:ascii="宋体" w:hAnsi="宋体" w:eastAsia="宋体" w:cs="宋体"/>
          <w:b/>
          <w:color w:val="auto"/>
          <w:sz w:val="24"/>
          <w:szCs w:val="24"/>
          <w:highlight w:val="none"/>
        </w:rPr>
      </w:pPr>
      <w:r>
        <w:rPr>
          <w:rFonts w:hint="eastAsia" w:ascii="宋体" w:hAnsi="宋体" w:cs="Times New Roman"/>
          <w:color w:val="auto"/>
          <w:szCs w:val="21"/>
          <w:highlight w:val="none"/>
          <w:lang w:val="en-US" w:eastAsia="zh-CN"/>
        </w:rPr>
        <w:t>26</w:t>
      </w:r>
      <w:r>
        <w:rPr>
          <w:rFonts w:hint="eastAsia" w:ascii="宋体" w:hAnsi="宋体" w:eastAsia="宋体" w:cs="Times New Roman"/>
          <w:color w:val="auto"/>
          <w:szCs w:val="21"/>
          <w:highlight w:val="none"/>
          <w:lang w:val="en-US" w:eastAsia="zh-CN"/>
        </w:rPr>
        <w:t>.8</w:t>
      </w:r>
      <w:r>
        <w:rPr>
          <w:rFonts w:hint="default" w:ascii="宋体" w:hAnsi="宋体" w:eastAsia="宋体" w:cs="Times New Roman"/>
          <w:color w:val="auto"/>
          <w:szCs w:val="21"/>
          <w:highlight w:val="none"/>
          <w:lang w:val="en-US" w:eastAsia="zh-CN"/>
        </w:rPr>
        <w:t>质疑企业一年内二次（含）以上质疑查无实据，将记录企业一次一般不良行为；存在捏造事实、提供虚假材料或以非法手段取得证明材料的，记录企业一次严重不良行为，列入集团黑名单。</w:t>
      </w:r>
    </w:p>
    <w:p>
      <w:pPr>
        <w:pStyle w:val="30"/>
        <w:spacing w:before="0" w:line="360" w:lineRule="auto"/>
        <w:ind w:firstLine="480" w:firstLineChars="200"/>
        <w:jc w:val="left"/>
        <w:outlineLvl w:val="3"/>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rPr>
        <w:t>.需要补充的其他内容</w:t>
      </w:r>
      <w:bookmarkEnd w:id="100"/>
      <w:bookmarkEnd w:id="101"/>
      <w:bookmarkEnd w:id="102"/>
    </w:p>
    <w:p>
      <w:pPr>
        <w:spacing w:line="360" w:lineRule="auto"/>
        <w:ind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项目人员配置最低要求：详见下表。</w:t>
      </w:r>
    </w:p>
    <w:p>
      <w:pPr>
        <w:outlineLvl w:val="9"/>
        <w:rPr>
          <w:rFonts w:hint="eastAsia" w:ascii="宋体" w:hAnsi="宋体" w:eastAsia="宋体" w:cs="宋体"/>
          <w:color w:val="auto"/>
          <w:highlight w:val="none"/>
          <w:lang w:eastAsia="zh-CN"/>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460" w:lineRule="exact"/>
        <w:jc w:val="both"/>
        <w:outlineLvl w:val="9"/>
        <w:rPr>
          <w:rFonts w:hint="eastAsia" w:ascii="宋体" w:hAnsi="宋体" w:eastAsia="宋体" w:cs="宋体"/>
          <w:b/>
          <w:bCs/>
          <w:color w:val="auto"/>
          <w:szCs w:val="22"/>
          <w:highlight w:val="none"/>
        </w:rPr>
      </w:pPr>
    </w:p>
    <w:p>
      <w:pPr>
        <w:spacing w:line="460" w:lineRule="exact"/>
        <w:ind w:firstLine="422" w:firstLineChars="200"/>
        <w:jc w:val="center"/>
        <w:outlineLvl w:val="9"/>
        <w:rPr>
          <w:rFonts w:hint="eastAsia" w:ascii="宋体" w:hAnsi="宋体" w:eastAsia="宋体" w:cs="宋体"/>
          <w:b/>
          <w:bCs/>
          <w:color w:val="auto"/>
          <w:szCs w:val="22"/>
          <w:highlight w:val="none"/>
        </w:rPr>
      </w:pPr>
    </w:p>
    <w:p>
      <w:pPr>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br w:type="page"/>
      </w:r>
    </w:p>
    <w:p>
      <w:pPr>
        <w:spacing w:line="460" w:lineRule="exact"/>
        <w:ind w:firstLine="422" w:firstLineChars="200"/>
        <w:jc w:val="center"/>
        <w:outlineLvl w:val="9"/>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专业分包工程管理人员配备表</w:t>
      </w:r>
    </w:p>
    <w:tbl>
      <w:tblPr>
        <w:tblStyle w:val="24"/>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2291"/>
        <w:gridCol w:w="2104"/>
        <w:gridCol w:w="1435"/>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734" w:type="dxa"/>
            <w:vAlign w:val="center"/>
          </w:tcPr>
          <w:p>
            <w:pPr>
              <w:spacing w:line="460" w:lineRule="atLeas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专业岗位</w:t>
            </w:r>
          </w:p>
        </w:tc>
        <w:tc>
          <w:tcPr>
            <w:tcW w:w="2291" w:type="dxa"/>
            <w:vAlign w:val="center"/>
          </w:tcPr>
          <w:p>
            <w:pPr>
              <w:spacing w:line="460" w:lineRule="atLeas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人员数量最低要求</w:t>
            </w:r>
          </w:p>
        </w:tc>
        <w:tc>
          <w:tcPr>
            <w:tcW w:w="2104" w:type="dxa"/>
            <w:vAlign w:val="center"/>
          </w:tcPr>
          <w:p>
            <w:pPr>
              <w:spacing w:line="460" w:lineRule="atLeas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岗位资格要求</w:t>
            </w:r>
          </w:p>
        </w:tc>
        <w:tc>
          <w:tcPr>
            <w:tcW w:w="1435" w:type="dxa"/>
            <w:vAlign w:val="center"/>
          </w:tcPr>
          <w:p>
            <w:pPr>
              <w:spacing w:line="460" w:lineRule="atLeas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岗位要求</w:t>
            </w:r>
          </w:p>
        </w:tc>
        <w:tc>
          <w:tcPr>
            <w:tcW w:w="1892" w:type="dxa"/>
            <w:vAlign w:val="center"/>
          </w:tcPr>
          <w:p>
            <w:pPr>
              <w:spacing w:line="460" w:lineRule="atLeas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734" w:type="dxa"/>
            <w:vAlign w:val="center"/>
          </w:tcPr>
          <w:p>
            <w:pPr>
              <w:spacing w:line="460" w:lineRule="atLeas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项目经理</w:t>
            </w:r>
          </w:p>
        </w:tc>
        <w:tc>
          <w:tcPr>
            <w:tcW w:w="2291" w:type="dxa"/>
            <w:vAlign w:val="center"/>
          </w:tcPr>
          <w:p>
            <w:pPr>
              <w:spacing w:line="460" w:lineRule="atLeast"/>
              <w:jc w:val="center"/>
              <w:rPr>
                <w:rFonts w:hint="eastAsia" w:ascii="宋体" w:hAnsi="宋体" w:eastAsia="宋体" w:cs="宋体"/>
                <w:color w:val="auto"/>
                <w:szCs w:val="22"/>
                <w:highlight w:val="none"/>
              </w:rPr>
            </w:pPr>
            <w:r>
              <w:rPr>
                <w:rFonts w:hint="eastAsia" w:ascii="宋体" w:hAnsi="宋体" w:cs="宋体"/>
                <w:color w:val="auto"/>
                <w:szCs w:val="22"/>
                <w:highlight w:val="none"/>
                <w:lang w:val="en-US" w:eastAsia="zh-CN"/>
              </w:rPr>
              <w:t>1</w:t>
            </w:r>
          </w:p>
        </w:tc>
        <w:tc>
          <w:tcPr>
            <w:tcW w:w="2104" w:type="dxa"/>
            <w:vAlign w:val="center"/>
          </w:tcPr>
          <w:p>
            <w:pPr>
              <w:spacing w:line="460" w:lineRule="atLeas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详见投标前附表及投标须知相关要求</w:t>
            </w:r>
          </w:p>
        </w:tc>
        <w:tc>
          <w:tcPr>
            <w:tcW w:w="1435" w:type="dxa"/>
            <w:vAlign w:val="center"/>
          </w:tcPr>
          <w:p>
            <w:pPr>
              <w:spacing w:line="460" w:lineRule="atLeast"/>
              <w:jc w:val="center"/>
              <w:rPr>
                <w:rFonts w:hint="eastAsia" w:ascii="宋体" w:hAnsi="宋体" w:eastAsia="宋体" w:cs="宋体"/>
                <w:color w:val="auto"/>
                <w:szCs w:val="22"/>
                <w:highlight w:val="none"/>
                <w:shd w:val="clear" w:color="auto" w:fill="auto"/>
                <w:lang w:eastAsia="zh-CN"/>
              </w:rPr>
            </w:pPr>
            <w:r>
              <w:rPr>
                <w:rFonts w:hint="eastAsia" w:ascii="宋体" w:hAnsi="宋体" w:eastAsia="宋体" w:cs="宋体"/>
                <w:color w:val="auto"/>
                <w:szCs w:val="22"/>
                <w:highlight w:val="none"/>
                <w:shd w:val="clear" w:color="auto" w:fill="auto"/>
              </w:rPr>
              <w:t>专职：</w:t>
            </w:r>
            <w:r>
              <w:rPr>
                <w:rFonts w:hint="eastAsia" w:ascii="宋体" w:hAnsi="宋体" w:eastAsia="宋体" w:cs="宋体"/>
                <w:color w:val="auto"/>
                <w:szCs w:val="22"/>
                <w:highlight w:val="none"/>
                <w:shd w:val="clear" w:color="auto" w:fill="auto"/>
                <w:lang w:eastAsia="zh-CN"/>
              </w:rPr>
              <w:t>☑</w:t>
            </w:r>
          </w:p>
          <w:p>
            <w:pPr>
              <w:spacing w:line="460" w:lineRule="atLeas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shd w:val="clear" w:color="auto" w:fill="auto"/>
              </w:rPr>
              <w:t>兼职：</w:t>
            </w:r>
            <w:r>
              <w:rPr>
                <w:rFonts w:hint="eastAsia" w:ascii="宋体" w:hAnsi="宋体" w:eastAsia="宋体" w:cs="宋体"/>
                <w:color w:val="auto"/>
                <w:szCs w:val="22"/>
                <w:highlight w:val="none"/>
                <w:shd w:val="clear" w:color="auto" w:fill="auto"/>
                <w:lang w:eastAsia="zh-CN"/>
              </w:rPr>
              <w:t>□</w:t>
            </w:r>
          </w:p>
        </w:tc>
        <w:tc>
          <w:tcPr>
            <w:tcW w:w="1892" w:type="dxa"/>
            <w:vAlign w:val="center"/>
          </w:tcPr>
          <w:p>
            <w:pPr>
              <w:spacing w:line="460" w:lineRule="atLeast"/>
              <w:jc w:val="center"/>
              <w:rPr>
                <w:rFonts w:hint="eastAsia" w:ascii="宋体" w:hAnsi="宋体" w:eastAsia="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734" w:type="dxa"/>
            <w:vAlign w:val="center"/>
          </w:tcPr>
          <w:p>
            <w:pPr>
              <w:spacing w:line="460" w:lineRule="atLeas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技术负责人</w:t>
            </w:r>
          </w:p>
        </w:tc>
        <w:tc>
          <w:tcPr>
            <w:tcW w:w="2291" w:type="dxa"/>
            <w:vAlign w:val="center"/>
          </w:tcPr>
          <w:p>
            <w:pPr>
              <w:spacing w:line="460" w:lineRule="atLeast"/>
              <w:jc w:val="center"/>
              <w:rPr>
                <w:rFonts w:hint="eastAsia" w:ascii="宋体" w:hAnsi="宋体" w:eastAsia="宋体" w:cs="宋体"/>
                <w:color w:val="auto"/>
                <w:szCs w:val="22"/>
                <w:highlight w:val="none"/>
              </w:rPr>
            </w:pPr>
            <w:r>
              <w:rPr>
                <w:rFonts w:hint="eastAsia" w:ascii="宋体" w:hAnsi="宋体" w:cs="宋体"/>
                <w:color w:val="auto"/>
                <w:szCs w:val="22"/>
                <w:highlight w:val="none"/>
                <w:lang w:val="en-US" w:eastAsia="zh-CN"/>
              </w:rPr>
              <w:t>1</w:t>
            </w:r>
          </w:p>
        </w:tc>
        <w:tc>
          <w:tcPr>
            <w:tcW w:w="2104" w:type="dxa"/>
            <w:vAlign w:val="center"/>
          </w:tcPr>
          <w:p>
            <w:pPr>
              <w:spacing w:line="460" w:lineRule="atLeas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详见投标前附表及投标须知相关要求</w:t>
            </w:r>
          </w:p>
        </w:tc>
        <w:tc>
          <w:tcPr>
            <w:tcW w:w="1435" w:type="dxa"/>
            <w:vAlign w:val="center"/>
          </w:tcPr>
          <w:p>
            <w:pPr>
              <w:spacing w:line="460" w:lineRule="atLeast"/>
              <w:jc w:val="center"/>
              <w:rPr>
                <w:rFonts w:hint="eastAsia" w:ascii="宋体" w:hAnsi="宋体" w:eastAsia="宋体" w:cs="宋体"/>
                <w:color w:val="auto"/>
                <w:szCs w:val="22"/>
                <w:highlight w:val="none"/>
                <w:shd w:val="clear" w:color="auto" w:fill="auto"/>
                <w:lang w:eastAsia="zh-CN"/>
              </w:rPr>
            </w:pPr>
            <w:r>
              <w:rPr>
                <w:rFonts w:hint="eastAsia" w:ascii="宋体" w:hAnsi="宋体" w:eastAsia="宋体" w:cs="宋体"/>
                <w:color w:val="auto"/>
                <w:szCs w:val="22"/>
                <w:highlight w:val="none"/>
                <w:shd w:val="clear" w:color="auto" w:fill="auto"/>
              </w:rPr>
              <w:t>专职：</w:t>
            </w:r>
            <w:r>
              <w:rPr>
                <w:rFonts w:hint="eastAsia" w:ascii="宋体" w:hAnsi="宋体" w:eastAsia="宋体" w:cs="宋体"/>
                <w:color w:val="auto"/>
                <w:szCs w:val="22"/>
                <w:highlight w:val="none"/>
                <w:shd w:val="clear" w:color="auto" w:fill="auto"/>
                <w:lang w:eastAsia="zh-CN"/>
              </w:rPr>
              <w:t>☑</w:t>
            </w:r>
          </w:p>
          <w:p>
            <w:pPr>
              <w:spacing w:line="460" w:lineRule="atLeas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shd w:val="clear" w:color="auto" w:fill="auto"/>
              </w:rPr>
              <w:t>兼职：</w:t>
            </w:r>
            <w:r>
              <w:rPr>
                <w:rFonts w:hint="eastAsia" w:ascii="宋体" w:hAnsi="宋体" w:eastAsia="宋体" w:cs="宋体"/>
                <w:color w:val="auto"/>
                <w:szCs w:val="22"/>
                <w:highlight w:val="none"/>
                <w:shd w:val="clear" w:color="auto" w:fill="auto"/>
                <w:lang w:eastAsia="zh-CN"/>
              </w:rPr>
              <w:t>□</w:t>
            </w:r>
          </w:p>
        </w:tc>
        <w:tc>
          <w:tcPr>
            <w:tcW w:w="1892" w:type="dxa"/>
            <w:vAlign w:val="center"/>
          </w:tcPr>
          <w:p>
            <w:pPr>
              <w:spacing w:line="460" w:lineRule="atLeast"/>
              <w:jc w:val="center"/>
              <w:rPr>
                <w:rFonts w:hint="eastAsia" w:ascii="宋体" w:hAnsi="宋体" w:eastAsia="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4" w:type="dxa"/>
            <w:vAlign w:val="center"/>
          </w:tcPr>
          <w:p>
            <w:pPr>
              <w:spacing w:line="460" w:lineRule="atLeas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施工员</w:t>
            </w:r>
          </w:p>
        </w:tc>
        <w:tc>
          <w:tcPr>
            <w:tcW w:w="2291" w:type="dxa"/>
            <w:vAlign w:val="center"/>
          </w:tcPr>
          <w:p>
            <w:pPr>
              <w:spacing w:line="460" w:lineRule="atLeast"/>
              <w:jc w:val="center"/>
              <w:rPr>
                <w:rFonts w:hint="default"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1</w:t>
            </w:r>
          </w:p>
        </w:tc>
        <w:tc>
          <w:tcPr>
            <w:tcW w:w="2104" w:type="dxa"/>
            <w:vAlign w:val="center"/>
          </w:tcPr>
          <w:p>
            <w:pPr>
              <w:spacing w:line="460" w:lineRule="atLeast"/>
              <w:jc w:val="center"/>
              <w:rPr>
                <w:rFonts w:hint="default"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持有施工员证</w:t>
            </w:r>
          </w:p>
        </w:tc>
        <w:tc>
          <w:tcPr>
            <w:tcW w:w="1435" w:type="dxa"/>
            <w:vAlign w:val="center"/>
          </w:tcPr>
          <w:p>
            <w:pPr>
              <w:spacing w:line="460" w:lineRule="atLeast"/>
              <w:jc w:val="center"/>
              <w:rPr>
                <w:rFonts w:hint="eastAsia" w:ascii="宋体" w:hAnsi="宋体" w:eastAsia="宋体" w:cs="宋体"/>
                <w:color w:val="auto"/>
                <w:szCs w:val="22"/>
                <w:highlight w:val="none"/>
                <w:shd w:val="clear" w:color="auto" w:fill="auto"/>
                <w:lang w:eastAsia="zh-CN"/>
              </w:rPr>
            </w:pPr>
            <w:r>
              <w:rPr>
                <w:rFonts w:hint="eastAsia" w:ascii="宋体" w:hAnsi="宋体" w:eastAsia="宋体" w:cs="宋体"/>
                <w:color w:val="auto"/>
                <w:szCs w:val="22"/>
                <w:highlight w:val="none"/>
                <w:shd w:val="clear" w:color="auto" w:fill="auto"/>
              </w:rPr>
              <w:t>专职：</w:t>
            </w:r>
            <w:r>
              <w:rPr>
                <w:rFonts w:hint="eastAsia" w:ascii="宋体" w:hAnsi="宋体" w:eastAsia="宋体" w:cs="宋体"/>
                <w:color w:val="auto"/>
                <w:szCs w:val="22"/>
                <w:highlight w:val="none"/>
                <w:shd w:val="clear" w:color="auto" w:fill="auto"/>
                <w:lang w:eastAsia="zh-CN"/>
              </w:rPr>
              <w:t>☑</w:t>
            </w:r>
          </w:p>
          <w:p>
            <w:pPr>
              <w:spacing w:line="460" w:lineRule="atLeas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shd w:val="clear" w:color="auto" w:fill="auto"/>
              </w:rPr>
              <w:t>兼职：</w:t>
            </w:r>
            <w:r>
              <w:rPr>
                <w:rFonts w:hint="eastAsia" w:ascii="宋体" w:hAnsi="宋体" w:eastAsia="宋体" w:cs="宋体"/>
                <w:color w:val="auto"/>
                <w:szCs w:val="22"/>
                <w:highlight w:val="none"/>
                <w:shd w:val="clear" w:color="auto" w:fill="auto"/>
                <w:lang w:eastAsia="zh-CN"/>
              </w:rPr>
              <w:t>□</w:t>
            </w:r>
          </w:p>
        </w:tc>
        <w:tc>
          <w:tcPr>
            <w:tcW w:w="1892" w:type="dxa"/>
            <w:vAlign w:val="center"/>
          </w:tcPr>
          <w:p>
            <w:pPr>
              <w:spacing w:line="460" w:lineRule="atLeast"/>
              <w:jc w:val="center"/>
              <w:rPr>
                <w:rFonts w:hint="eastAsia" w:ascii="宋体" w:hAnsi="宋体" w:eastAsia="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4" w:type="dxa"/>
            <w:vAlign w:val="center"/>
          </w:tcPr>
          <w:p>
            <w:pPr>
              <w:spacing w:line="460" w:lineRule="atLeas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安全员</w:t>
            </w:r>
          </w:p>
        </w:tc>
        <w:tc>
          <w:tcPr>
            <w:tcW w:w="2291" w:type="dxa"/>
            <w:vAlign w:val="center"/>
          </w:tcPr>
          <w:p>
            <w:pPr>
              <w:spacing w:line="460" w:lineRule="atLeast"/>
              <w:jc w:val="center"/>
              <w:rPr>
                <w:rFonts w:hint="eastAsia" w:ascii="宋体" w:hAnsi="宋体" w:eastAsia="宋体" w:cs="宋体"/>
                <w:color w:val="auto"/>
                <w:szCs w:val="22"/>
                <w:highlight w:val="none"/>
              </w:rPr>
            </w:pPr>
            <w:r>
              <w:rPr>
                <w:rFonts w:hint="eastAsia" w:ascii="宋体" w:hAnsi="宋体" w:cs="宋体"/>
                <w:color w:val="auto"/>
                <w:kern w:val="2"/>
                <w:sz w:val="21"/>
                <w:szCs w:val="22"/>
                <w:highlight w:val="none"/>
                <w:lang w:val="en-US" w:eastAsia="zh-CN" w:bidi="ar-SA"/>
              </w:rPr>
              <w:t>1</w:t>
            </w:r>
          </w:p>
        </w:tc>
        <w:tc>
          <w:tcPr>
            <w:tcW w:w="2104" w:type="dxa"/>
            <w:vAlign w:val="center"/>
          </w:tcPr>
          <w:p>
            <w:pPr>
              <w:spacing w:line="460" w:lineRule="atLeast"/>
              <w:jc w:val="center"/>
              <w:rPr>
                <w:rFonts w:hint="eastAsia" w:ascii="宋体" w:hAnsi="宋体" w:eastAsia="宋体" w:cs="宋体"/>
                <w:color w:val="auto"/>
                <w:szCs w:val="22"/>
                <w:highlight w:val="none"/>
              </w:rPr>
            </w:pPr>
            <w:r>
              <w:rPr>
                <w:rFonts w:hint="eastAsia" w:ascii="宋体" w:hAnsi="宋体" w:cs="宋体"/>
                <w:color w:val="auto"/>
                <w:kern w:val="2"/>
                <w:sz w:val="21"/>
                <w:szCs w:val="22"/>
                <w:highlight w:val="none"/>
                <w:lang w:val="en-US" w:eastAsia="zh-CN" w:bidi="ar-SA"/>
              </w:rPr>
              <w:t>持有安全员证</w:t>
            </w:r>
          </w:p>
        </w:tc>
        <w:tc>
          <w:tcPr>
            <w:tcW w:w="1435" w:type="dxa"/>
            <w:vAlign w:val="center"/>
          </w:tcPr>
          <w:p>
            <w:pPr>
              <w:spacing w:line="460" w:lineRule="atLeast"/>
              <w:jc w:val="center"/>
              <w:rPr>
                <w:rFonts w:hint="eastAsia" w:ascii="宋体" w:hAnsi="宋体" w:eastAsia="宋体" w:cs="宋体"/>
                <w:color w:val="auto"/>
                <w:szCs w:val="22"/>
                <w:highlight w:val="none"/>
                <w:shd w:val="clear" w:color="auto" w:fill="auto"/>
                <w:lang w:eastAsia="zh-CN"/>
              </w:rPr>
            </w:pPr>
            <w:r>
              <w:rPr>
                <w:rFonts w:hint="eastAsia" w:ascii="宋体" w:hAnsi="宋体" w:eastAsia="宋体" w:cs="宋体"/>
                <w:color w:val="auto"/>
                <w:szCs w:val="22"/>
                <w:highlight w:val="none"/>
                <w:shd w:val="clear" w:color="auto" w:fill="auto"/>
              </w:rPr>
              <w:t>专职：</w:t>
            </w:r>
            <w:r>
              <w:rPr>
                <w:rFonts w:hint="eastAsia" w:ascii="宋体" w:hAnsi="宋体" w:eastAsia="宋体" w:cs="宋体"/>
                <w:color w:val="auto"/>
                <w:szCs w:val="22"/>
                <w:highlight w:val="none"/>
                <w:shd w:val="clear" w:color="auto" w:fill="auto"/>
                <w:lang w:eastAsia="zh-CN"/>
              </w:rPr>
              <w:t>☑</w:t>
            </w:r>
          </w:p>
          <w:p>
            <w:pPr>
              <w:spacing w:line="460" w:lineRule="atLeas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shd w:val="clear" w:color="auto" w:fill="auto"/>
              </w:rPr>
              <w:t>兼职：</w:t>
            </w:r>
            <w:r>
              <w:rPr>
                <w:rFonts w:hint="eastAsia" w:ascii="宋体" w:hAnsi="宋体" w:eastAsia="宋体" w:cs="宋体"/>
                <w:color w:val="auto"/>
                <w:szCs w:val="22"/>
                <w:highlight w:val="none"/>
                <w:shd w:val="clear" w:color="auto" w:fill="auto"/>
                <w:lang w:eastAsia="zh-CN"/>
              </w:rPr>
              <w:t>□</w:t>
            </w:r>
          </w:p>
        </w:tc>
        <w:tc>
          <w:tcPr>
            <w:tcW w:w="1892" w:type="dxa"/>
            <w:vAlign w:val="center"/>
          </w:tcPr>
          <w:p>
            <w:pPr>
              <w:spacing w:line="460" w:lineRule="atLeast"/>
              <w:jc w:val="center"/>
              <w:rPr>
                <w:rFonts w:hint="eastAsia" w:ascii="宋体" w:hAnsi="宋体" w:eastAsia="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4" w:type="dxa"/>
            <w:vAlign w:val="center"/>
          </w:tcPr>
          <w:p>
            <w:pPr>
              <w:spacing w:line="460" w:lineRule="atLeas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质量员</w:t>
            </w:r>
          </w:p>
        </w:tc>
        <w:tc>
          <w:tcPr>
            <w:tcW w:w="2291" w:type="dxa"/>
            <w:vAlign w:val="center"/>
          </w:tcPr>
          <w:p>
            <w:pPr>
              <w:spacing w:line="460" w:lineRule="atLeast"/>
              <w:jc w:val="center"/>
              <w:rPr>
                <w:rFonts w:hint="eastAsia" w:ascii="宋体" w:hAnsi="宋体" w:eastAsia="宋体" w:cs="宋体"/>
                <w:color w:val="auto"/>
                <w:szCs w:val="22"/>
                <w:highlight w:val="none"/>
              </w:rPr>
            </w:pPr>
            <w:r>
              <w:rPr>
                <w:rFonts w:hint="eastAsia" w:ascii="宋体" w:hAnsi="宋体" w:cs="宋体"/>
                <w:color w:val="auto"/>
                <w:kern w:val="2"/>
                <w:sz w:val="21"/>
                <w:szCs w:val="22"/>
                <w:highlight w:val="none"/>
                <w:lang w:val="en-US" w:eastAsia="zh-CN" w:bidi="ar-SA"/>
              </w:rPr>
              <w:t>1</w:t>
            </w:r>
          </w:p>
        </w:tc>
        <w:tc>
          <w:tcPr>
            <w:tcW w:w="2104" w:type="dxa"/>
            <w:vAlign w:val="center"/>
          </w:tcPr>
          <w:p>
            <w:pPr>
              <w:spacing w:line="460" w:lineRule="atLeast"/>
              <w:jc w:val="center"/>
              <w:rPr>
                <w:rFonts w:hint="eastAsia" w:ascii="宋体" w:hAnsi="宋体" w:eastAsia="宋体" w:cs="宋体"/>
                <w:color w:val="auto"/>
                <w:szCs w:val="22"/>
                <w:highlight w:val="none"/>
              </w:rPr>
            </w:pPr>
            <w:r>
              <w:rPr>
                <w:rFonts w:hint="eastAsia" w:ascii="宋体" w:hAnsi="宋体" w:cs="宋体"/>
                <w:color w:val="auto"/>
                <w:kern w:val="2"/>
                <w:sz w:val="21"/>
                <w:szCs w:val="22"/>
                <w:highlight w:val="none"/>
                <w:lang w:val="en-US" w:eastAsia="zh-CN" w:bidi="ar-SA"/>
              </w:rPr>
              <w:t>持有质量员证</w:t>
            </w:r>
          </w:p>
        </w:tc>
        <w:tc>
          <w:tcPr>
            <w:tcW w:w="1435" w:type="dxa"/>
            <w:vAlign w:val="center"/>
          </w:tcPr>
          <w:p>
            <w:pPr>
              <w:spacing w:line="460" w:lineRule="atLeas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专职：</w:t>
            </w:r>
            <w:r>
              <w:rPr>
                <w:rFonts w:hint="eastAsia" w:ascii="宋体" w:hAnsi="宋体" w:eastAsia="宋体" w:cs="宋体"/>
                <w:color w:val="auto"/>
                <w:szCs w:val="22"/>
                <w:highlight w:val="none"/>
              </w:rPr>
              <w:sym w:font="Wingdings 2" w:char="00A3"/>
            </w:r>
          </w:p>
          <w:p>
            <w:pPr>
              <w:spacing w:line="460" w:lineRule="atLeas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兼职：</w:t>
            </w:r>
            <w:r>
              <w:rPr>
                <w:rFonts w:hint="eastAsia" w:ascii="宋体" w:hAnsi="宋体" w:eastAsia="宋体" w:cs="宋体"/>
                <w:color w:val="auto"/>
                <w:szCs w:val="22"/>
                <w:highlight w:val="none"/>
              </w:rPr>
              <w:sym w:font="Wingdings 2" w:char="0052"/>
            </w:r>
          </w:p>
        </w:tc>
        <w:tc>
          <w:tcPr>
            <w:tcW w:w="1892" w:type="dxa"/>
            <w:vAlign w:val="center"/>
          </w:tcPr>
          <w:p>
            <w:pPr>
              <w:spacing w:line="460" w:lineRule="atLeast"/>
              <w:jc w:val="center"/>
              <w:rPr>
                <w:rFonts w:hint="eastAsia" w:ascii="宋体" w:hAnsi="宋体" w:eastAsia="宋体" w:cs="宋体"/>
                <w:color w:val="auto"/>
                <w:szCs w:val="22"/>
                <w:highlight w:val="none"/>
              </w:rPr>
            </w:pPr>
          </w:p>
        </w:tc>
      </w:tr>
    </w:tbl>
    <w:p>
      <w:pPr>
        <w:rPr>
          <w:rFonts w:hint="eastAsia" w:ascii="宋体" w:hAnsi="宋体" w:eastAsia="宋体" w:cs="宋体"/>
          <w:color w:val="auto"/>
          <w:highlight w:val="none"/>
        </w:rPr>
      </w:pPr>
    </w:p>
    <w:p>
      <w:pPr>
        <w:numPr>
          <w:ilvl w:val="0"/>
          <w:numId w:val="6"/>
        </w:numPr>
        <w:spacing w:line="46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rPr>
        <w:t>表中“岗位资格要求”栏请填写具体岗位要求，同时注明岗位证书（资格证书）并提供复印件。</w:t>
      </w:r>
    </w:p>
    <w:p>
      <w:pPr>
        <w:numPr>
          <w:ilvl w:val="0"/>
          <w:numId w:val="6"/>
        </w:numPr>
        <w:spacing w:line="46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rPr>
        <w:t>表中“岗位要求”栏专职、兼职在“□”内打“√”。</w:t>
      </w:r>
    </w:p>
    <w:p>
      <w:pPr>
        <w:numPr>
          <w:ilvl w:val="0"/>
          <w:numId w:val="6"/>
        </w:numPr>
        <w:spacing w:line="46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rPr>
        <w:t>此表为投标人配置本专业分包工程管理人员最低要求。</w:t>
      </w:r>
    </w:p>
    <w:p>
      <w:pPr>
        <w:spacing w:before="158" w:beforeLines="50" w:after="158" w:afterLines="50"/>
        <w:jc w:val="center"/>
        <w:outlineLvl w:val="1"/>
        <w:rPr>
          <w:rFonts w:hint="eastAsia" w:ascii="宋体" w:hAnsi="宋体" w:eastAsia="宋体" w:cs="宋体"/>
          <w:b/>
          <w:bCs/>
          <w:color w:val="auto"/>
          <w:kern w:val="44"/>
          <w:sz w:val="32"/>
          <w:szCs w:val="32"/>
          <w:highlight w:val="none"/>
        </w:rPr>
      </w:pPr>
      <w:r>
        <w:rPr>
          <w:rFonts w:hint="eastAsia" w:ascii="宋体" w:hAnsi="宋体" w:eastAsia="宋体" w:cs="宋体"/>
          <w:color w:val="auto"/>
          <w:sz w:val="24"/>
          <w:szCs w:val="24"/>
          <w:highlight w:val="none"/>
        </w:rPr>
        <w:br w:type="page"/>
      </w:r>
      <w:bookmarkStart w:id="103" w:name="_Toc19383"/>
      <w:r>
        <w:rPr>
          <w:rFonts w:hint="eastAsia" w:ascii="宋体" w:hAnsi="宋体" w:eastAsia="宋体" w:cs="宋体"/>
          <w:b/>
          <w:bCs/>
          <w:color w:val="auto"/>
          <w:kern w:val="44"/>
          <w:sz w:val="32"/>
          <w:szCs w:val="32"/>
          <w:highlight w:val="none"/>
        </w:rPr>
        <w:t>第三章  评标办法</w:t>
      </w:r>
      <w:bookmarkEnd w:id="103"/>
    </w:p>
    <w:p>
      <w:pPr>
        <w:jc w:val="center"/>
        <w:outlineLvl w:val="2"/>
        <w:rPr>
          <w:rFonts w:hint="eastAsia" w:ascii="宋体" w:hAnsi="宋体"/>
          <w:b/>
          <w:bCs/>
          <w:color w:val="auto"/>
          <w:sz w:val="28"/>
          <w:szCs w:val="28"/>
          <w:highlight w:val="none"/>
        </w:rPr>
      </w:pPr>
      <w:bookmarkStart w:id="104" w:name="_Toc30797"/>
      <w:bookmarkStart w:id="105" w:name="_Toc27303"/>
      <w:bookmarkStart w:id="106" w:name="_Toc6874"/>
      <w:bookmarkStart w:id="107" w:name="_Toc22641"/>
      <w:bookmarkStart w:id="108" w:name="_Toc7528"/>
      <w:bookmarkStart w:id="109" w:name="_Toc27173"/>
      <w:bookmarkStart w:id="110" w:name="_Toc390092122"/>
      <w:bookmarkStart w:id="111" w:name="_Toc8123"/>
      <w:bookmarkStart w:id="112" w:name="_Toc25726"/>
      <w:r>
        <w:rPr>
          <w:rFonts w:hint="eastAsia" w:ascii="宋体" w:hAnsi="宋体"/>
          <w:b/>
          <w:bCs/>
          <w:color w:val="auto"/>
          <w:sz w:val="28"/>
          <w:szCs w:val="28"/>
          <w:highlight w:val="none"/>
        </w:rPr>
        <w:t>一、评标办法前附表</w:t>
      </w:r>
      <w:bookmarkEnd w:id="104"/>
      <w:bookmarkEnd w:id="105"/>
      <w:bookmarkEnd w:id="106"/>
      <w:bookmarkEnd w:id="107"/>
      <w:bookmarkEnd w:id="108"/>
      <w:bookmarkEnd w:id="109"/>
      <w:bookmarkEnd w:id="110"/>
      <w:bookmarkEnd w:id="111"/>
      <w:bookmarkEnd w:id="112"/>
    </w:p>
    <w:tbl>
      <w:tblPr>
        <w:tblStyle w:val="24"/>
        <w:tblW w:w="9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080"/>
        <w:gridCol w:w="2348"/>
        <w:gridCol w:w="5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auto"/>
                <w:szCs w:val="21"/>
                <w:highlight w:val="none"/>
              </w:rPr>
            </w:pPr>
            <w:r>
              <w:rPr>
                <w:rFonts w:hint="eastAsia" w:ascii="宋体" w:hAnsi="宋体"/>
                <w:color w:val="auto"/>
                <w:szCs w:val="21"/>
                <w:highlight w:val="none"/>
              </w:rPr>
              <w:t>序号</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auto"/>
                <w:szCs w:val="21"/>
                <w:highlight w:val="none"/>
              </w:rPr>
            </w:pPr>
            <w:r>
              <w:rPr>
                <w:rFonts w:hint="eastAsia" w:ascii="宋体" w:hAnsi="宋体"/>
                <w:color w:val="auto"/>
                <w:szCs w:val="21"/>
                <w:highlight w:val="none"/>
              </w:rPr>
              <w:t>评审因素</w:t>
            </w:r>
          </w:p>
        </w:tc>
        <w:tc>
          <w:tcPr>
            <w:tcW w:w="820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szCs w:val="21"/>
                <w:highlight w:val="none"/>
              </w:rPr>
            </w:pPr>
            <w:r>
              <w:rPr>
                <w:rFonts w:hint="eastAsia" w:ascii="宋体" w:hAnsi="宋体"/>
                <w:color w:val="auto"/>
                <w:szCs w:val="21"/>
                <w:highlight w:val="none"/>
              </w:rPr>
              <w:t>1</w:t>
            </w:r>
          </w:p>
        </w:tc>
        <w:tc>
          <w:tcPr>
            <w:tcW w:w="10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形式评审标准</w:t>
            </w:r>
          </w:p>
        </w:tc>
        <w:tc>
          <w:tcPr>
            <w:tcW w:w="234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投标人名称</w:t>
            </w:r>
          </w:p>
        </w:tc>
        <w:tc>
          <w:tcPr>
            <w:tcW w:w="585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234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投标函内容及签字盖章</w:t>
            </w:r>
          </w:p>
        </w:tc>
        <w:tc>
          <w:tcPr>
            <w:tcW w:w="585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投标函内容符合招标文件规定且有法定代表人或其委托代理人签字</w:t>
            </w:r>
            <w:r>
              <w:rPr>
                <w:rFonts w:hint="eastAsia" w:ascii="宋体" w:hAnsi="宋体"/>
                <w:color w:val="auto"/>
                <w:szCs w:val="21"/>
                <w:highlight w:val="none"/>
                <w:lang w:val="en-US" w:eastAsia="zh-CN"/>
              </w:rPr>
              <w:t>或盖章</w:t>
            </w:r>
            <w:r>
              <w:rPr>
                <w:rFonts w:hint="eastAsia" w:ascii="宋体" w:hAnsi="宋体"/>
                <w:color w:val="auto"/>
                <w:szCs w:val="21"/>
                <w:highlight w:val="none"/>
              </w:rPr>
              <w:t>且加盖单位章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234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投标文件签字盖章</w:t>
            </w:r>
          </w:p>
        </w:tc>
        <w:tc>
          <w:tcPr>
            <w:tcW w:w="585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投标文件中所有要求签字或盖章的地方，必须由规定的相应人员签字或盖章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234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投标文件格式</w:t>
            </w:r>
          </w:p>
        </w:tc>
        <w:tc>
          <w:tcPr>
            <w:tcW w:w="585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按规定的格式填写，不存在内容不全或关键字迹模糊、无法辨认的或无法区分正副本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234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rPr>
              <w:t>唯一报价和投标报价</w:t>
            </w:r>
          </w:p>
        </w:tc>
        <w:tc>
          <w:tcPr>
            <w:tcW w:w="585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szCs w:val="21"/>
                <w:highlight w:val="none"/>
              </w:rPr>
            </w:pPr>
            <w:r>
              <w:rPr>
                <w:rFonts w:hint="eastAsia" w:ascii="宋体" w:hAnsi="宋体"/>
                <w:color w:val="auto"/>
                <w:szCs w:val="21"/>
                <w:highlight w:val="none"/>
              </w:rPr>
              <w:t>2</w:t>
            </w:r>
          </w:p>
        </w:tc>
        <w:tc>
          <w:tcPr>
            <w:tcW w:w="10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资格评审标准</w:t>
            </w:r>
          </w:p>
        </w:tc>
        <w:tc>
          <w:tcPr>
            <w:tcW w:w="234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法定代表人身份证明书</w:t>
            </w:r>
          </w:p>
        </w:tc>
        <w:tc>
          <w:tcPr>
            <w:tcW w:w="585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审核法定代表人身份证明书原件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234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授权委托书</w:t>
            </w:r>
          </w:p>
        </w:tc>
        <w:tc>
          <w:tcPr>
            <w:tcW w:w="585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法定代表人授权委托书【若由法定代表人递交投标文件则不须要提供】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234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身份证</w:t>
            </w:r>
          </w:p>
        </w:tc>
        <w:tc>
          <w:tcPr>
            <w:tcW w:w="585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法定代表人居民身份证原件【若由法定代表人递交投标文件的】或法定代表人授权委托书及被授权人居民身份证原件【若由委托代理人递交投标文件的】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234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营业执照</w:t>
            </w:r>
          </w:p>
        </w:tc>
        <w:tc>
          <w:tcPr>
            <w:tcW w:w="585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olor w:val="auto"/>
                <w:szCs w:val="21"/>
                <w:highlight w:val="none"/>
              </w:rPr>
            </w:pPr>
            <w:r>
              <w:rPr>
                <w:rFonts w:hint="eastAsia" w:ascii="宋体" w:hAnsi="宋体"/>
                <w:color w:val="auto"/>
                <w:szCs w:val="21"/>
                <w:highlight w:val="none"/>
              </w:rPr>
              <w:t>符合第二章的相关规定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234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资质等级</w:t>
            </w:r>
          </w:p>
        </w:tc>
        <w:tc>
          <w:tcPr>
            <w:tcW w:w="585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符合第二章的相关规定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234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安全生产许可证</w:t>
            </w:r>
          </w:p>
        </w:tc>
        <w:tc>
          <w:tcPr>
            <w:tcW w:w="585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符合第二章的相关规定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234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企业业绩要求</w:t>
            </w:r>
          </w:p>
        </w:tc>
        <w:tc>
          <w:tcPr>
            <w:tcW w:w="585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符合第二章的相关规定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234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项目经理要求</w:t>
            </w:r>
          </w:p>
        </w:tc>
        <w:tc>
          <w:tcPr>
            <w:tcW w:w="585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符合第二章的相关规定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234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rPr>
              <w:t>项目技术负责人要求</w:t>
            </w:r>
          </w:p>
        </w:tc>
        <w:tc>
          <w:tcPr>
            <w:tcW w:w="585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rPr>
              <w:t>符合第二章的相关规定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szCs w:val="21"/>
                <w:highlight w:val="none"/>
              </w:rPr>
            </w:pPr>
            <w:r>
              <w:rPr>
                <w:rFonts w:hint="eastAsia" w:ascii="宋体" w:hAnsi="宋体"/>
                <w:color w:val="auto"/>
                <w:szCs w:val="21"/>
                <w:highlight w:val="none"/>
              </w:rPr>
              <w:t>3</w:t>
            </w:r>
          </w:p>
        </w:tc>
        <w:tc>
          <w:tcPr>
            <w:tcW w:w="10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响应性评审标准</w:t>
            </w:r>
          </w:p>
        </w:tc>
        <w:tc>
          <w:tcPr>
            <w:tcW w:w="234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投标文件的份数</w:t>
            </w:r>
          </w:p>
        </w:tc>
        <w:tc>
          <w:tcPr>
            <w:tcW w:w="585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234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投标内容</w:t>
            </w:r>
          </w:p>
        </w:tc>
        <w:tc>
          <w:tcPr>
            <w:tcW w:w="585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符合第二章的相关规定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234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质量要求</w:t>
            </w:r>
          </w:p>
        </w:tc>
        <w:tc>
          <w:tcPr>
            <w:tcW w:w="585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符合第二章的相关规定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234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olor w:val="auto"/>
                <w:szCs w:val="21"/>
                <w:highlight w:val="none"/>
              </w:rPr>
            </w:pPr>
            <w:r>
              <w:rPr>
                <w:rFonts w:hint="eastAsia" w:ascii="宋体" w:hAnsi="宋体"/>
                <w:color w:val="auto"/>
                <w:szCs w:val="21"/>
                <w:highlight w:val="none"/>
              </w:rPr>
              <w:t>安全文明施工要求</w:t>
            </w:r>
          </w:p>
        </w:tc>
        <w:tc>
          <w:tcPr>
            <w:tcW w:w="585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符合第二章的相关规定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234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工期要求</w:t>
            </w:r>
          </w:p>
        </w:tc>
        <w:tc>
          <w:tcPr>
            <w:tcW w:w="585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符合第二章的相关规定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234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投标有效期</w:t>
            </w:r>
          </w:p>
        </w:tc>
        <w:tc>
          <w:tcPr>
            <w:tcW w:w="585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符合第二章的相关规定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234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投标保证金</w:t>
            </w:r>
          </w:p>
        </w:tc>
        <w:tc>
          <w:tcPr>
            <w:tcW w:w="585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符合第二章的相关规定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234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内容的完整性和可辨性</w:t>
            </w:r>
          </w:p>
        </w:tc>
        <w:tc>
          <w:tcPr>
            <w:tcW w:w="585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内容完整、关键字迹清晰可辨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234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人员配备</w:t>
            </w:r>
          </w:p>
        </w:tc>
        <w:tc>
          <w:tcPr>
            <w:tcW w:w="585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符合第二章的相关规定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234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eastAsia="宋体"/>
                <w:color w:val="auto"/>
                <w:szCs w:val="21"/>
                <w:highlight w:val="none"/>
                <w:lang w:val="en-US" w:eastAsia="zh-CN"/>
              </w:rPr>
              <w:t>关于严禁采取停工、围堵等恶劣方式解决合同纠纷的承诺函</w:t>
            </w:r>
          </w:p>
        </w:tc>
        <w:tc>
          <w:tcPr>
            <w:tcW w:w="585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lang w:val="en-US" w:eastAsia="zh-CN"/>
              </w:rPr>
              <w:t>是否按要求提供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7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szCs w:val="21"/>
                <w:highlight w:val="none"/>
              </w:rPr>
            </w:pPr>
            <w:r>
              <w:rPr>
                <w:rFonts w:hint="eastAsia" w:ascii="宋体" w:hAnsi="宋体"/>
                <w:color w:val="auto"/>
                <w:szCs w:val="21"/>
                <w:highlight w:val="none"/>
              </w:rPr>
              <w:t>4</w:t>
            </w:r>
          </w:p>
        </w:tc>
        <w:tc>
          <w:tcPr>
            <w:tcW w:w="10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价格审查标准</w:t>
            </w:r>
          </w:p>
        </w:tc>
        <w:tc>
          <w:tcPr>
            <w:tcW w:w="234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工程量清单报价</w:t>
            </w:r>
          </w:p>
        </w:tc>
        <w:tc>
          <w:tcPr>
            <w:tcW w:w="585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rPr>
              <w:t>投标人工程量清单报价</w:t>
            </w:r>
            <w:r>
              <w:rPr>
                <w:rFonts w:hint="eastAsia" w:ascii="宋体" w:hAnsi="宋体"/>
                <w:color w:val="auto"/>
                <w:szCs w:val="21"/>
                <w:highlight w:val="none"/>
                <w:lang w:val="en-US" w:eastAsia="zh-CN"/>
              </w:rPr>
              <w:t>应响应招标文件要求，</w:t>
            </w:r>
            <w:r>
              <w:rPr>
                <w:rFonts w:hint="eastAsia" w:ascii="宋体" w:hAnsi="宋体"/>
                <w:color w:val="auto"/>
                <w:szCs w:val="21"/>
                <w:highlight w:val="none"/>
              </w:rPr>
              <w:t>不存在漏项、缺项</w:t>
            </w:r>
            <w:r>
              <w:rPr>
                <w:rFonts w:hint="eastAsia" w:ascii="宋体" w:hAnsi="宋体"/>
                <w:color w:val="auto"/>
                <w:szCs w:val="21"/>
                <w:highlight w:val="none"/>
                <w:lang w:val="en-US" w:eastAsia="zh-CN"/>
              </w:rPr>
              <w:t>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Cs w:val="21"/>
                <w:highlight w:val="none"/>
              </w:rPr>
            </w:pPr>
          </w:p>
        </w:tc>
        <w:tc>
          <w:tcPr>
            <w:tcW w:w="234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rPr>
              <w:t>投标报价</w:t>
            </w:r>
          </w:p>
        </w:tc>
        <w:tc>
          <w:tcPr>
            <w:tcW w:w="585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rPr>
              <w:t>投标人的投标报价</w:t>
            </w:r>
            <w:r>
              <w:rPr>
                <w:rFonts w:hint="eastAsia" w:ascii="宋体" w:hAnsi="宋体"/>
                <w:color w:val="auto"/>
                <w:szCs w:val="21"/>
                <w:highlight w:val="none"/>
                <w:lang w:val="en-US" w:eastAsia="zh-CN"/>
              </w:rPr>
              <w:t>未超过招标控制价且</w:t>
            </w:r>
            <w:r>
              <w:rPr>
                <w:rFonts w:hint="eastAsia" w:ascii="宋体" w:hAnsi="宋体"/>
                <w:color w:val="auto"/>
                <w:szCs w:val="21"/>
                <w:highlight w:val="none"/>
              </w:rPr>
              <w:t>未低于成本</w:t>
            </w:r>
            <w:r>
              <w:rPr>
                <w:rFonts w:hint="eastAsia" w:ascii="宋体" w:hAnsi="宋体"/>
                <w:color w:val="auto"/>
                <w:szCs w:val="21"/>
                <w:highlight w:val="none"/>
                <w:lang w:val="en-US" w:eastAsia="zh-CN"/>
              </w:rPr>
              <w:t>价</w:t>
            </w:r>
          </w:p>
        </w:tc>
      </w:tr>
    </w:tbl>
    <w:p>
      <w:pPr>
        <w:spacing w:after="317" w:afterLines="100" w:line="360" w:lineRule="auto"/>
        <w:jc w:val="center"/>
        <w:outlineLvl w:val="9"/>
        <w:rPr>
          <w:rFonts w:hint="eastAsia" w:ascii="宋体" w:hAnsi="宋体"/>
          <w:b/>
          <w:color w:val="auto"/>
          <w:sz w:val="24"/>
          <w:szCs w:val="24"/>
          <w:highlight w:val="none"/>
        </w:rPr>
        <w:sectPr>
          <w:headerReference r:id="rId6" w:type="default"/>
          <w:footerReference r:id="rId7" w:type="default"/>
          <w:pgSz w:w="11905" w:h="16838"/>
          <w:pgMar w:top="1134" w:right="1134" w:bottom="1134" w:left="1134" w:header="850" w:footer="992" w:gutter="567"/>
          <w:pgBorders>
            <w:top w:val="none" w:sz="0" w:space="0"/>
            <w:left w:val="none" w:sz="0" w:space="0"/>
            <w:bottom w:val="none" w:sz="0" w:space="0"/>
            <w:right w:val="none" w:sz="0" w:space="0"/>
          </w:pgBorders>
          <w:pgNumType w:fmt="decimal"/>
          <w:cols w:space="720" w:num="1"/>
          <w:docGrid w:type="lines" w:linePitch="317" w:charSpace="0"/>
        </w:sectPr>
      </w:pPr>
      <w:bookmarkStart w:id="113" w:name="_Toc308041882"/>
      <w:bookmarkStart w:id="114" w:name="_Toc390092123"/>
    </w:p>
    <w:bookmarkEnd w:id="113"/>
    <w:bookmarkEnd w:id="114"/>
    <w:p>
      <w:pPr>
        <w:widowControl/>
        <w:jc w:val="center"/>
        <w:outlineLvl w:val="9"/>
        <w:rPr>
          <w:rFonts w:hint="eastAsia" w:ascii="宋体" w:hAnsi="宋体" w:eastAsia="宋体" w:cs="宋体"/>
          <w:b/>
          <w:bCs/>
          <w:color w:val="auto"/>
          <w:kern w:val="0"/>
          <w:sz w:val="32"/>
          <w:szCs w:val="32"/>
          <w:highlight w:val="none"/>
          <w:u w:val="none"/>
          <w:lang w:val="en-US" w:eastAsia="zh-CN"/>
        </w:rPr>
      </w:pPr>
      <w:bookmarkStart w:id="115" w:name="_Toc26445"/>
      <w:r>
        <w:rPr>
          <w:rFonts w:hint="eastAsia" w:asciiTheme="minorEastAsia" w:hAnsiTheme="minorEastAsia" w:eastAsiaTheme="minorEastAsia" w:cstheme="minorEastAsia"/>
          <w:b/>
          <w:bCs/>
          <w:color w:val="auto"/>
          <w:sz w:val="32"/>
          <w:szCs w:val="32"/>
          <w:highlight w:val="none"/>
          <w:lang w:val="en-US" w:eastAsia="zh-CN"/>
        </w:rPr>
        <w:t>二、</w:t>
      </w:r>
      <w:r>
        <w:rPr>
          <w:rFonts w:hint="eastAsia" w:asciiTheme="minorEastAsia" w:hAnsiTheme="minorEastAsia" w:eastAsiaTheme="minorEastAsia" w:cstheme="minorEastAsia"/>
          <w:b/>
          <w:bCs/>
          <w:color w:val="auto"/>
          <w:sz w:val="32"/>
          <w:szCs w:val="32"/>
          <w:highlight w:val="none"/>
        </w:rPr>
        <w:t>评标办法</w:t>
      </w:r>
      <w:bookmarkEnd w:id="115"/>
      <w:r>
        <w:rPr>
          <w:rFonts w:hint="eastAsia" w:ascii="宋体" w:hAnsi="宋体" w:eastAsia="宋体" w:cs="宋体"/>
          <w:b/>
          <w:bCs/>
          <w:color w:val="auto"/>
          <w:kern w:val="0"/>
          <w:sz w:val="32"/>
          <w:szCs w:val="32"/>
          <w:highlight w:val="none"/>
          <w:u w:val="none"/>
          <w:lang w:val="en-US" w:eastAsia="zh-CN"/>
        </w:rPr>
        <w:t xml:space="preserve"> </w:t>
      </w:r>
    </w:p>
    <w:p>
      <w:pPr>
        <w:spacing w:line="360" w:lineRule="auto"/>
        <w:outlineLvl w:val="3"/>
        <w:rPr>
          <w:rFonts w:hint="eastAsia"/>
          <w:b/>
          <w:bCs/>
          <w:color w:val="auto"/>
          <w:highlight w:val="none"/>
        </w:rPr>
      </w:pPr>
      <w:r>
        <w:rPr>
          <w:rFonts w:hint="eastAsia"/>
          <w:b/>
          <w:bCs/>
          <w:color w:val="auto"/>
          <w:highlight w:val="none"/>
        </w:rPr>
        <w:t>1.评标办法</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outlineLvl w:val="1"/>
        <w:rPr>
          <w:rFonts w:ascii="宋体" w:hAnsi="宋体"/>
          <w:color w:val="auto"/>
          <w:highlight w:val="none"/>
        </w:rPr>
      </w:pPr>
      <w:r>
        <w:rPr>
          <w:rFonts w:hint="eastAsia" w:ascii="宋体" w:hAnsi="宋体"/>
          <w:color w:val="auto"/>
          <w:highlight w:val="none"/>
          <w:lang w:val="en-US" w:eastAsia="zh-CN"/>
        </w:rPr>
        <w:t>1.1</w:t>
      </w:r>
      <w:r>
        <w:rPr>
          <w:rFonts w:hint="eastAsia" w:ascii="宋体" w:hAnsi="宋体"/>
          <w:color w:val="auto"/>
          <w:highlight w:val="none"/>
        </w:rPr>
        <w:t>本项目评标办法采用</w:t>
      </w:r>
      <w:r>
        <w:rPr>
          <w:rFonts w:hint="eastAsia" w:ascii="宋体" w:hAnsi="宋体" w:cs="宋体"/>
          <w:b/>
          <w:bCs/>
          <w:color w:val="auto"/>
          <w:kern w:val="0"/>
          <w:sz w:val="21"/>
          <w:szCs w:val="21"/>
          <w:highlight w:val="none"/>
          <w:lang w:val="en-US" w:eastAsia="zh-CN"/>
        </w:rPr>
        <w:t>□</w:t>
      </w:r>
      <w:r>
        <w:rPr>
          <w:rFonts w:hint="eastAsia" w:ascii="宋体" w:hAnsi="宋体" w:eastAsia="宋体" w:cs="宋体"/>
          <w:b/>
          <w:bCs/>
          <w:color w:val="auto"/>
          <w:kern w:val="0"/>
          <w:sz w:val="21"/>
          <w:szCs w:val="21"/>
          <w:highlight w:val="none"/>
        </w:rPr>
        <w:t>经评审的合理低价法</w:t>
      </w:r>
      <w:r>
        <w:rPr>
          <w:rFonts w:hint="eastAsia" w:ascii="宋体" w:hAnsi="宋体" w:cs="宋体"/>
          <w:b/>
          <w:bCs/>
          <w:color w:val="auto"/>
          <w:kern w:val="0"/>
          <w:sz w:val="21"/>
          <w:szCs w:val="21"/>
          <w:highlight w:val="none"/>
          <w:lang w:val="en-US" w:eastAsia="zh-CN"/>
        </w:rPr>
        <w:sym w:font="Wingdings 2" w:char="0052"/>
      </w:r>
      <w:r>
        <w:rPr>
          <w:rFonts w:hint="eastAsia" w:ascii="宋体" w:hAnsi="宋体" w:eastAsia="宋体" w:cs="宋体"/>
          <w:b/>
          <w:bCs/>
          <w:color w:val="auto"/>
          <w:kern w:val="0"/>
          <w:sz w:val="21"/>
          <w:szCs w:val="21"/>
          <w:highlight w:val="none"/>
          <w:lang w:val="en-US" w:eastAsia="zh-CN"/>
        </w:rPr>
        <w:t>综合评估法</w:t>
      </w:r>
      <w:r>
        <w:rPr>
          <w:rFonts w:hint="eastAsia" w:ascii="宋体" w:hAnsi="宋体" w:cs="宋体"/>
          <w:b w:val="0"/>
          <w:bCs w:val="0"/>
          <w:color w:val="auto"/>
          <w:kern w:val="0"/>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lang w:val="en-US" w:eastAsia="zh-CN"/>
        </w:rPr>
        <w:t>1.2</w:t>
      </w:r>
      <w:r>
        <w:rPr>
          <w:rFonts w:hint="eastAsia" w:ascii="宋体" w:hAnsi="宋体"/>
          <w:color w:val="auto"/>
          <w:highlight w:val="none"/>
        </w:rPr>
        <w:t>本办法是评标委员会确定工程中标候选人的依据，在评标过程中应充分体现公平、公正、科学合理的原则。</w:t>
      </w:r>
    </w:p>
    <w:p>
      <w:pPr>
        <w:keepNext w:val="0"/>
        <w:keepLines w:val="0"/>
        <w:pageBreakBefore w:val="0"/>
        <w:kinsoku/>
        <w:wordWrap/>
        <w:overflowPunct/>
        <w:topLinePunct w:val="0"/>
        <w:autoSpaceDE/>
        <w:autoSpaceDN/>
        <w:bidi w:val="0"/>
        <w:adjustRightInd/>
        <w:snapToGrid/>
        <w:spacing w:line="360" w:lineRule="auto"/>
        <w:textAlignment w:val="auto"/>
        <w:outlineLvl w:val="3"/>
        <w:rPr>
          <w:rFonts w:hint="eastAsia"/>
          <w:b/>
          <w:bCs/>
          <w:color w:val="auto"/>
          <w:highlight w:val="none"/>
        </w:rPr>
      </w:pPr>
      <w:r>
        <w:rPr>
          <w:rFonts w:hint="eastAsia"/>
          <w:b/>
          <w:bCs/>
          <w:color w:val="auto"/>
          <w:highlight w:val="none"/>
        </w:rPr>
        <w:t>2.评审标准</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Theme="minorEastAsia"/>
          <w:b/>
          <w:bCs/>
          <w:color w:val="auto"/>
          <w:highlight w:val="none"/>
          <w:lang w:eastAsia="zh-CN"/>
        </w:rPr>
      </w:pPr>
      <w:r>
        <w:rPr>
          <w:rFonts w:hint="eastAsia" w:ascii="宋体" w:hAnsi="宋体"/>
          <w:b/>
          <w:bCs/>
          <w:color w:val="auto"/>
          <w:highlight w:val="none"/>
        </w:rPr>
        <w:t xml:space="preserve">2.1 初步评审标准 </w:t>
      </w:r>
      <w:r>
        <w:rPr>
          <w:rFonts w:hint="eastAsia" w:ascii="宋体" w:hAnsi="宋体"/>
          <w:b/>
          <w:bCs/>
          <w:color w:val="auto"/>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 xml:space="preserve">2.1.1 形式评审标准：见评标办法前附表。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2.1.2 资格评审标准：见评标办法前附表。</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2.1.3 响应性评审标准：见评标办法前附表。</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2.1.4 价格审查标准：见评标办法前附表。</w:t>
      </w:r>
    </w:p>
    <w:p>
      <w:pPr>
        <w:widowControl/>
        <w:spacing w:line="360" w:lineRule="auto"/>
        <w:outlineLvl w:val="1"/>
        <w:rPr>
          <w:rFonts w:hint="eastAsia" w:ascii="宋体" w:hAnsi="宋体"/>
          <w:b/>
          <w:bCs/>
          <w:color w:val="auto"/>
          <w:highlight w:val="none"/>
        </w:rPr>
      </w:pPr>
      <w:r>
        <w:rPr>
          <w:rFonts w:hint="eastAsia" w:ascii="宋体" w:hAnsi="宋体"/>
          <w:b/>
          <w:bCs/>
          <w:color w:val="auto"/>
          <w:highlight w:val="none"/>
        </w:rPr>
        <w:t>2.2 详细评审标准：</w:t>
      </w:r>
    </w:p>
    <w:p>
      <w:pPr>
        <w:pStyle w:val="23"/>
        <w:rPr>
          <w:rFonts w:hint="eastAsia" w:ascii="宋体" w:hAnsi="宋体"/>
          <w:b/>
          <w:bCs/>
          <w:color w:val="auto"/>
          <w:highlight w:val="none"/>
        </w:rPr>
        <w:sectPr>
          <w:headerReference r:id="rId8" w:type="default"/>
          <w:footerReference r:id="rId9" w:type="default"/>
          <w:pgSz w:w="11906" w:h="16838"/>
          <w:pgMar w:top="1134" w:right="1797" w:bottom="1134" w:left="1797" w:header="851" w:footer="992" w:gutter="0"/>
          <w:pgBorders>
            <w:top w:val="none" w:sz="0" w:space="0"/>
            <w:left w:val="none" w:sz="0" w:space="0"/>
            <w:bottom w:val="none" w:sz="0" w:space="0"/>
            <w:right w:val="none" w:sz="0" w:space="0"/>
          </w:pgBorders>
          <w:cols w:space="425" w:num="1"/>
          <w:docGrid w:type="lines" w:linePitch="312" w:charSpace="0"/>
        </w:sectPr>
      </w:pPr>
    </w:p>
    <w:p>
      <w:pPr>
        <w:widowControl/>
        <w:spacing w:line="360" w:lineRule="auto"/>
        <w:outlineLvl w:val="1"/>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评标办法一：</w:t>
      </w:r>
      <w:r>
        <w:rPr>
          <w:rFonts w:hint="eastAsia" w:ascii="宋体" w:hAnsi="宋体" w:eastAsia="宋体" w:cs="宋体"/>
          <w:b/>
          <w:bCs/>
          <w:color w:val="auto"/>
          <w:kern w:val="0"/>
          <w:sz w:val="21"/>
          <w:szCs w:val="21"/>
          <w:highlight w:val="none"/>
          <w:lang w:val="en-US" w:eastAsia="zh-CN"/>
        </w:rPr>
        <w:t>经评审的合理低价法</w:t>
      </w:r>
    </w:p>
    <w:tbl>
      <w:tblPr>
        <w:tblStyle w:val="24"/>
        <w:tblW w:w="9658" w:type="dxa"/>
        <w:tblInd w:w="-6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5"/>
        <w:gridCol w:w="822"/>
        <w:gridCol w:w="817"/>
        <w:gridCol w:w="5474"/>
        <w:gridCol w:w="908"/>
        <w:gridCol w:w="8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63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评审因素</w:t>
            </w:r>
          </w:p>
        </w:tc>
        <w:tc>
          <w:tcPr>
            <w:tcW w:w="54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评审标准</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各项最高分值（分）</w:t>
            </w: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权重系数（%）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6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6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技术部分（100分）</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内容完整和编制水平</w:t>
            </w: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第一个档次（4-5分）：版面整齐，表述清晰，内容全面、准确，图文并茂，未出现格式等错误。</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技术部分采用通过性评审，技术部分合格分值为</w:t>
            </w:r>
            <w:r>
              <w:rPr>
                <w:rFonts w:hint="eastAsia" w:ascii="宋体" w:hAnsi="宋体" w:eastAsia="宋体" w:cs="宋体"/>
                <w:i w:val="0"/>
                <w:iCs w:val="0"/>
                <w:color w:val="auto"/>
                <w:kern w:val="0"/>
                <w:sz w:val="21"/>
                <w:szCs w:val="21"/>
                <w:highlight w:val="none"/>
                <w:u w:val="single"/>
                <w:lang w:val="en-US" w:eastAsia="zh-CN" w:bidi="ar"/>
              </w:rPr>
              <w:t>70</w:t>
            </w:r>
            <w:r>
              <w:rPr>
                <w:rFonts w:hint="eastAsia" w:ascii="宋体" w:hAnsi="宋体" w:eastAsia="宋体" w:cs="宋体"/>
                <w:i w:val="0"/>
                <w:iCs w:val="0"/>
                <w:color w:val="auto"/>
                <w:kern w:val="0"/>
                <w:sz w:val="21"/>
                <w:szCs w:val="21"/>
                <w:highlight w:val="none"/>
                <w:u w:val="none"/>
                <w:lang w:val="en-US" w:eastAsia="zh-CN" w:bidi="ar"/>
              </w:rPr>
              <w:t>分（合格分值需≥70分，低于</w:t>
            </w:r>
            <w:r>
              <w:rPr>
                <w:rFonts w:hint="eastAsia" w:ascii="宋体" w:hAnsi="宋体" w:eastAsia="宋体" w:cs="宋体"/>
                <w:i w:val="0"/>
                <w:iCs w:val="0"/>
                <w:color w:val="auto"/>
                <w:kern w:val="0"/>
                <w:sz w:val="21"/>
                <w:szCs w:val="21"/>
                <w:highlight w:val="none"/>
                <w:u w:val="single"/>
                <w:lang w:val="en-US" w:eastAsia="zh-CN" w:bidi="ar"/>
              </w:rPr>
              <w:t>70</w:t>
            </w:r>
            <w:r>
              <w:rPr>
                <w:rFonts w:hint="eastAsia" w:ascii="宋体" w:hAnsi="宋体" w:eastAsia="宋体" w:cs="宋体"/>
                <w:i w:val="0"/>
                <w:iCs w:val="0"/>
                <w:color w:val="auto"/>
                <w:kern w:val="0"/>
                <w:sz w:val="21"/>
                <w:szCs w:val="21"/>
                <w:highlight w:val="none"/>
                <w:u w:val="none"/>
                <w:lang w:val="en-US" w:eastAsia="zh-CN" w:bidi="ar"/>
              </w:rPr>
              <w:t>分的投标人不得参与汇总评分的计算。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第二个档次（2-3分）：版面不够整齐，表述不够清晰，内容不够完整、准确，缺（少）图。</w:t>
            </w: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9"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施工方案与技术措施</w:t>
            </w: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第一个档次（26-30分）：对项目总体概况表述清晰、完整；部署及措施先进、可靠；对项目主要及关键方案有深入的表述，对重点、难点分析透彻</w:t>
            </w:r>
            <w:r>
              <w:rPr>
                <w:rFonts w:hint="eastAsia" w:ascii="宋体" w:hAnsi="宋体" w:eastAsia="宋体" w:cs="宋体"/>
                <w:i w:val="0"/>
                <w:iCs w:val="0"/>
                <w:color w:val="auto"/>
                <w:kern w:val="0"/>
                <w:sz w:val="21"/>
                <w:szCs w:val="21"/>
                <w:highlight w:val="none"/>
                <w:u w:val="singl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解决方案切实可行；符合环保、安全、文明生产要求。总工期及节点工期满足招标文件要求；施工进度计划内容全面</w:t>
            </w:r>
            <w:r>
              <w:rPr>
                <w:rFonts w:hint="eastAsia" w:ascii="宋体" w:hAnsi="宋体" w:eastAsia="宋体" w:cs="宋体"/>
                <w:i w:val="0"/>
                <w:iCs w:val="0"/>
                <w:color w:val="auto"/>
                <w:kern w:val="0"/>
                <w:sz w:val="21"/>
                <w:szCs w:val="21"/>
                <w:highlight w:val="none"/>
                <w:u w:val="singl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线路清晰、准确、完整。</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3"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二个档次（21-25分）：对项目总体概况表述较清晰、完整；部署及措施较可靠；对项目主要及关键方案有表述,对项目重点、难点的解决方案较可行；符合环保、安全、文明生产要求。总工期及节点工期满足招标文件要求。</w:t>
            </w: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第三个档次（16-20分）：对项目总体概况表述不够清晰；部署及措施不够具体；对项目主要及关键方案表述不够清晰。</w:t>
            </w: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质量管理体系与措施</w:t>
            </w: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第一个档次（</w:t>
            </w:r>
            <w:r>
              <w:rPr>
                <w:rFonts w:hint="eastAsia" w:ascii="宋体" w:hAnsi="宋体" w:eastAsia="宋体" w:cs="宋体"/>
                <w:i w:val="0"/>
                <w:iCs w:val="0"/>
                <w:color w:val="auto"/>
                <w:kern w:val="0"/>
                <w:sz w:val="21"/>
                <w:szCs w:val="21"/>
                <w:highlight w:val="none"/>
                <w:u w:val="single"/>
                <w:lang w:val="en-US" w:eastAsia="zh-CN" w:bidi="ar"/>
              </w:rPr>
              <w:t>18-</w:t>
            </w:r>
            <w:r>
              <w:rPr>
                <w:rFonts w:hint="eastAsia" w:ascii="宋体" w:hAnsi="宋体" w:eastAsia="宋体" w:cs="宋体"/>
                <w:i w:val="0"/>
                <w:iCs w:val="0"/>
                <w:color w:val="auto"/>
                <w:kern w:val="0"/>
                <w:sz w:val="21"/>
                <w:szCs w:val="21"/>
                <w:highlight w:val="none"/>
                <w:u w:val="none"/>
                <w:lang w:val="en-US" w:eastAsia="zh-CN" w:bidi="ar"/>
              </w:rPr>
              <w:t>20分）：质量符合或优于招标文件要求且目标明确</w:t>
            </w:r>
            <w:r>
              <w:rPr>
                <w:rFonts w:hint="eastAsia" w:ascii="宋体" w:hAnsi="宋体" w:eastAsia="宋体" w:cs="宋体"/>
                <w:i w:val="0"/>
                <w:iCs w:val="0"/>
                <w:color w:val="auto"/>
                <w:kern w:val="0"/>
                <w:sz w:val="21"/>
                <w:szCs w:val="21"/>
                <w:highlight w:val="none"/>
                <w:u w:val="singl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质量管理机构健全</w:t>
            </w:r>
            <w:r>
              <w:rPr>
                <w:rFonts w:hint="eastAsia" w:ascii="宋体" w:hAnsi="宋体" w:eastAsia="宋体" w:cs="宋体"/>
                <w:i w:val="0"/>
                <w:iCs w:val="0"/>
                <w:color w:val="auto"/>
                <w:kern w:val="0"/>
                <w:sz w:val="21"/>
                <w:szCs w:val="21"/>
                <w:highlight w:val="none"/>
                <w:u w:val="singl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职责分工</w:t>
            </w:r>
            <w:r>
              <w:rPr>
                <w:rFonts w:hint="eastAsia" w:ascii="宋体" w:hAnsi="宋体" w:eastAsia="宋体" w:cs="宋体"/>
                <w:i w:val="0"/>
                <w:iCs w:val="0"/>
                <w:color w:val="auto"/>
                <w:kern w:val="0"/>
                <w:sz w:val="21"/>
                <w:szCs w:val="21"/>
                <w:highlight w:val="none"/>
                <w:u w:val="single"/>
                <w:lang w:val="en-US" w:eastAsia="zh-CN" w:bidi="ar"/>
              </w:rPr>
              <w:t>明确；</w:t>
            </w:r>
            <w:r>
              <w:rPr>
                <w:rFonts w:hint="eastAsia" w:ascii="宋体" w:hAnsi="宋体" w:eastAsia="宋体" w:cs="宋体"/>
                <w:i w:val="0"/>
                <w:iCs w:val="0"/>
                <w:color w:val="auto"/>
                <w:kern w:val="0"/>
                <w:sz w:val="21"/>
                <w:szCs w:val="21"/>
                <w:highlight w:val="none"/>
                <w:u w:val="none"/>
                <w:lang w:val="en-US" w:eastAsia="zh-CN" w:bidi="ar"/>
              </w:rPr>
              <w:t>管理制度</w:t>
            </w:r>
            <w:r>
              <w:rPr>
                <w:rFonts w:hint="eastAsia" w:ascii="宋体" w:hAnsi="宋体" w:eastAsia="宋体" w:cs="宋体"/>
                <w:i w:val="0"/>
                <w:iCs w:val="0"/>
                <w:color w:val="auto"/>
                <w:kern w:val="0"/>
                <w:sz w:val="21"/>
                <w:szCs w:val="21"/>
                <w:highlight w:val="none"/>
                <w:u w:val="single"/>
                <w:lang w:val="en-US" w:eastAsia="zh-CN" w:bidi="ar"/>
              </w:rPr>
              <w:t>齐全；</w:t>
            </w:r>
            <w:r>
              <w:rPr>
                <w:rFonts w:hint="eastAsia" w:ascii="宋体" w:hAnsi="宋体" w:eastAsia="宋体" w:cs="宋体"/>
                <w:i w:val="0"/>
                <w:iCs w:val="0"/>
                <w:color w:val="auto"/>
                <w:kern w:val="0"/>
                <w:sz w:val="21"/>
                <w:szCs w:val="21"/>
                <w:highlight w:val="none"/>
                <w:u w:val="none"/>
                <w:lang w:val="en-US" w:eastAsia="zh-CN" w:bidi="ar"/>
              </w:rPr>
              <w:t>实施与监控措施全面、有效。</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第二个档次（</w:t>
            </w:r>
            <w:r>
              <w:rPr>
                <w:rFonts w:hint="eastAsia" w:ascii="宋体" w:hAnsi="宋体" w:eastAsia="宋体" w:cs="宋体"/>
                <w:i w:val="0"/>
                <w:iCs w:val="0"/>
                <w:color w:val="auto"/>
                <w:kern w:val="0"/>
                <w:sz w:val="21"/>
                <w:szCs w:val="21"/>
                <w:highlight w:val="none"/>
                <w:u w:val="single"/>
                <w:lang w:val="en-US" w:eastAsia="zh-CN" w:bidi="ar"/>
              </w:rPr>
              <w:t>15-17分</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single"/>
                <w:lang w:val="en-US" w:eastAsia="zh-CN" w:bidi="ar"/>
              </w:rPr>
              <w:t>质量目标符合或优于招标文件要求且目标明确；管理机构健全，职责分工较明确；管理较制度较齐全；实施与监控措施较完整。</w:t>
            </w: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第三个档次（</w:t>
            </w:r>
            <w:r>
              <w:rPr>
                <w:rFonts w:hint="eastAsia" w:ascii="宋体" w:hAnsi="宋体" w:eastAsia="宋体" w:cs="宋体"/>
                <w:i w:val="0"/>
                <w:iCs w:val="0"/>
                <w:color w:val="auto"/>
                <w:kern w:val="0"/>
                <w:sz w:val="21"/>
                <w:szCs w:val="21"/>
                <w:highlight w:val="none"/>
                <w:u w:val="single"/>
                <w:lang w:val="en-US" w:eastAsia="zh-CN" w:bidi="ar"/>
              </w:rPr>
              <w:t>12-14分</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single"/>
                <w:lang w:val="en-US" w:eastAsia="zh-CN" w:bidi="ar"/>
              </w:rPr>
              <w:t>质量目标符合招标文件要求且目标明确；管理机构基本健全，职责分工基本明确；管理制度基本齐全；实施与监控措施基本完整。</w:t>
            </w: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环境保护安全管理体系与措施</w:t>
            </w: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第一个档次（</w:t>
            </w:r>
            <w:r>
              <w:rPr>
                <w:rFonts w:hint="eastAsia" w:ascii="宋体" w:hAnsi="宋体" w:eastAsia="宋体" w:cs="宋体"/>
                <w:i w:val="0"/>
                <w:iCs w:val="0"/>
                <w:color w:val="auto"/>
                <w:kern w:val="0"/>
                <w:sz w:val="21"/>
                <w:szCs w:val="21"/>
                <w:highlight w:val="none"/>
                <w:u w:val="single"/>
                <w:lang w:val="en-US" w:eastAsia="zh-CN" w:bidi="ar"/>
              </w:rPr>
              <w:t>18-20分</w:t>
            </w:r>
            <w:r>
              <w:rPr>
                <w:rFonts w:hint="eastAsia" w:ascii="宋体" w:hAnsi="宋体" w:eastAsia="宋体" w:cs="宋体"/>
                <w:i w:val="0"/>
                <w:iCs w:val="0"/>
                <w:color w:val="auto"/>
                <w:kern w:val="0"/>
                <w:sz w:val="21"/>
                <w:szCs w:val="21"/>
                <w:highlight w:val="none"/>
                <w:u w:val="none"/>
                <w:lang w:val="en-US" w:eastAsia="zh-CN" w:bidi="ar"/>
              </w:rPr>
              <w:t>）：环境保护安全目标符合或优于招标文件的要求</w:t>
            </w:r>
            <w:r>
              <w:rPr>
                <w:rFonts w:hint="eastAsia" w:ascii="宋体" w:hAnsi="宋体" w:eastAsia="宋体" w:cs="宋体"/>
                <w:i w:val="0"/>
                <w:iCs w:val="0"/>
                <w:color w:val="auto"/>
                <w:kern w:val="0"/>
                <w:sz w:val="21"/>
                <w:szCs w:val="21"/>
                <w:highlight w:val="none"/>
                <w:u w:val="singl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安全管理机构健全</w:t>
            </w:r>
            <w:r>
              <w:rPr>
                <w:rFonts w:hint="eastAsia" w:ascii="宋体" w:hAnsi="宋体" w:eastAsia="宋体" w:cs="宋体"/>
                <w:i w:val="0"/>
                <w:iCs w:val="0"/>
                <w:color w:val="auto"/>
                <w:kern w:val="0"/>
                <w:sz w:val="21"/>
                <w:szCs w:val="21"/>
                <w:highlight w:val="none"/>
                <w:u w:val="singl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职责分工</w:t>
            </w:r>
            <w:r>
              <w:rPr>
                <w:rFonts w:hint="eastAsia" w:ascii="宋体" w:hAnsi="宋体" w:eastAsia="宋体" w:cs="宋体"/>
                <w:i w:val="0"/>
                <w:iCs w:val="0"/>
                <w:color w:val="auto"/>
                <w:kern w:val="0"/>
                <w:sz w:val="21"/>
                <w:szCs w:val="21"/>
                <w:highlight w:val="none"/>
                <w:u w:val="single"/>
                <w:lang w:val="en-US" w:eastAsia="zh-CN" w:bidi="ar"/>
              </w:rPr>
              <w:t>明确；</w:t>
            </w:r>
            <w:r>
              <w:rPr>
                <w:rFonts w:hint="eastAsia" w:ascii="宋体" w:hAnsi="宋体" w:eastAsia="宋体" w:cs="宋体"/>
                <w:i w:val="0"/>
                <w:iCs w:val="0"/>
                <w:color w:val="auto"/>
                <w:kern w:val="0"/>
                <w:sz w:val="21"/>
                <w:szCs w:val="21"/>
                <w:highlight w:val="none"/>
                <w:u w:val="none"/>
                <w:lang w:val="en-US" w:eastAsia="zh-CN" w:bidi="ar"/>
              </w:rPr>
              <w:t>管理制度</w:t>
            </w:r>
            <w:r>
              <w:rPr>
                <w:rFonts w:hint="eastAsia" w:ascii="宋体" w:hAnsi="宋体" w:eastAsia="宋体" w:cs="宋体"/>
                <w:i w:val="0"/>
                <w:iCs w:val="0"/>
                <w:color w:val="auto"/>
                <w:kern w:val="0"/>
                <w:sz w:val="21"/>
                <w:szCs w:val="21"/>
                <w:highlight w:val="none"/>
                <w:u w:val="single"/>
                <w:lang w:val="en-US" w:eastAsia="zh-CN" w:bidi="ar"/>
              </w:rPr>
              <w:t>齐全；</w:t>
            </w:r>
            <w:r>
              <w:rPr>
                <w:rFonts w:hint="eastAsia" w:ascii="宋体" w:hAnsi="宋体" w:eastAsia="宋体" w:cs="宋体"/>
                <w:i w:val="0"/>
                <w:iCs w:val="0"/>
                <w:color w:val="auto"/>
                <w:kern w:val="0"/>
                <w:sz w:val="21"/>
                <w:szCs w:val="21"/>
                <w:highlight w:val="none"/>
                <w:u w:val="none"/>
                <w:lang w:val="en-US" w:eastAsia="zh-CN" w:bidi="ar"/>
              </w:rPr>
              <w:t>实施与监控措施全面、有效。</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第二个档次（</w:t>
            </w:r>
            <w:r>
              <w:rPr>
                <w:rFonts w:hint="eastAsia" w:ascii="宋体" w:hAnsi="宋体" w:eastAsia="宋体" w:cs="宋体"/>
                <w:i w:val="0"/>
                <w:iCs w:val="0"/>
                <w:color w:val="auto"/>
                <w:kern w:val="0"/>
                <w:sz w:val="21"/>
                <w:szCs w:val="21"/>
                <w:highlight w:val="none"/>
                <w:u w:val="single"/>
                <w:lang w:val="en-US" w:eastAsia="zh-CN" w:bidi="ar"/>
              </w:rPr>
              <w:t>15-17分</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single"/>
                <w:lang w:val="en-US" w:eastAsia="zh-CN" w:bidi="ar"/>
              </w:rPr>
              <w:t>环境保护安全目标符合或优于招标文件要求；管理机构健全，职责分工较明确；管理制度较齐全；实施与监控措施较完整。</w:t>
            </w: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第三个档次（</w:t>
            </w:r>
            <w:r>
              <w:rPr>
                <w:rFonts w:hint="eastAsia" w:ascii="宋体" w:hAnsi="宋体" w:eastAsia="宋体" w:cs="宋体"/>
                <w:i w:val="0"/>
                <w:iCs w:val="0"/>
                <w:color w:val="auto"/>
                <w:kern w:val="0"/>
                <w:sz w:val="21"/>
                <w:szCs w:val="21"/>
                <w:highlight w:val="none"/>
                <w:u w:val="single"/>
                <w:lang w:val="en-US" w:eastAsia="zh-CN" w:bidi="ar"/>
              </w:rPr>
              <w:t>12-14分</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single"/>
                <w:lang w:val="en-US" w:eastAsia="zh-CN" w:bidi="ar"/>
              </w:rPr>
              <w:t>安全目标符合招标文件要求；管理机构基本健全，职责分工基本明确；管理制度基本齐全；实施与监控措施基本完整。</w:t>
            </w: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kern w:val="0"/>
                <w:sz w:val="21"/>
                <w:szCs w:val="21"/>
                <w:highlight w:val="none"/>
                <w:u w:val="single"/>
                <w:lang w:val="en-US" w:eastAsia="zh-CN" w:bidi="ar"/>
              </w:rPr>
              <w:t>资源配备计划</w:t>
            </w: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第一个档次（</w:t>
            </w:r>
            <w:r>
              <w:rPr>
                <w:rFonts w:hint="eastAsia" w:ascii="宋体" w:hAnsi="宋体" w:eastAsia="宋体" w:cs="宋体"/>
                <w:i w:val="0"/>
                <w:iCs w:val="0"/>
                <w:color w:val="auto"/>
                <w:kern w:val="0"/>
                <w:sz w:val="21"/>
                <w:szCs w:val="21"/>
                <w:highlight w:val="none"/>
                <w:u w:val="single"/>
                <w:lang w:val="en-US" w:eastAsia="zh-CN" w:bidi="ar"/>
              </w:rPr>
              <w:t>13-15分</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single"/>
                <w:lang w:val="en-US" w:eastAsia="zh-CN" w:bidi="ar"/>
              </w:rPr>
              <w:t>劳动力计划、周转材料计划、施工机具计划、主要材料一次性需用量计划等资源投入计划与施工部署、施工方法及进度计划呼应，很好的满足施工需要，调配投入计划合理、准确全面。</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single"/>
              </w:rPr>
            </w:pP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第二个档次（</w:t>
            </w:r>
            <w:r>
              <w:rPr>
                <w:rFonts w:hint="eastAsia" w:ascii="宋体" w:hAnsi="宋体" w:eastAsia="宋体" w:cs="宋体"/>
                <w:i w:val="0"/>
                <w:iCs w:val="0"/>
                <w:color w:val="auto"/>
                <w:kern w:val="0"/>
                <w:sz w:val="21"/>
                <w:szCs w:val="21"/>
                <w:highlight w:val="none"/>
                <w:u w:val="single"/>
                <w:lang w:val="en-US" w:eastAsia="zh-CN" w:bidi="ar"/>
              </w:rPr>
              <w:t>10-12分</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single"/>
                <w:lang w:val="en-US" w:eastAsia="zh-CN" w:bidi="ar"/>
              </w:rPr>
              <w:t>劳动力计划、周转材料计划、施工机具计划、主要材料一次性需用量计划等资源投入计划与施工部署、施工方法及进度计划呼应，较好的满足施工需要，调配投入计划合理。</w:t>
            </w: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single"/>
              </w:rPr>
            </w:pP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第三个档次（</w:t>
            </w:r>
            <w:r>
              <w:rPr>
                <w:rFonts w:hint="eastAsia" w:ascii="宋体" w:hAnsi="宋体" w:eastAsia="宋体" w:cs="宋体"/>
                <w:i w:val="0"/>
                <w:iCs w:val="0"/>
                <w:color w:val="auto"/>
                <w:kern w:val="0"/>
                <w:sz w:val="21"/>
                <w:szCs w:val="21"/>
                <w:highlight w:val="none"/>
                <w:u w:val="single"/>
                <w:lang w:val="en-US" w:eastAsia="zh-CN" w:bidi="ar"/>
              </w:rPr>
              <w:t>7-9分</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single"/>
                <w:lang w:val="en-US" w:eastAsia="zh-CN" w:bidi="ar"/>
              </w:rPr>
              <w:t>劳动力计划、周转材料计划、施工机具计划、主要材料一次性需用量计划等资源投入计划与施工部署、施工方法及进度计划基本满足施工需要，调配投入计划基本合理。</w:t>
            </w: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3"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项目管理机构配置</w:t>
            </w: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第一个档次（9-10</w:t>
            </w:r>
            <w:r>
              <w:rPr>
                <w:rFonts w:hint="eastAsia" w:ascii="宋体" w:hAnsi="宋体" w:eastAsia="宋体" w:cs="宋体"/>
                <w:i w:val="0"/>
                <w:iCs w:val="0"/>
                <w:color w:val="auto"/>
                <w:kern w:val="0"/>
                <w:sz w:val="21"/>
                <w:szCs w:val="21"/>
                <w:highlight w:val="none"/>
                <w:u w:val="single"/>
                <w:lang w:val="en-US" w:eastAsia="zh-CN" w:bidi="ar"/>
              </w:rPr>
              <w:t>分</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single"/>
                <w:lang w:val="en-US" w:eastAsia="zh-CN" w:bidi="ar"/>
              </w:rPr>
              <w:t>投标人拟定的项目经理符合招标文件规定的资格条件；项目经理资质证书和B证年检合格。项目管理人员针对工程实际配置且合理，能满足工程管理需要且有针对性，项目管理人员持证上岗。</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3"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第二个档次（7-8</w:t>
            </w:r>
            <w:r>
              <w:rPr>
                <w:rFonts w:hint="eastAsia" w:ascii="宋体" w:hAnsi="宋体" w:eastAsia="宋体" w:cs="宋体"/>
                <w:i w:val="0"/>
                <w:iCs w:val="0"/>
                <w:color w:val="auto"/>
                <w:kern w:val="0"/>
                <w:sz w:val="21"/>
                <w:szCs w:val="21"/>
                <w:highlight w:val="none"/>
                <w:u w:val="single"/>
                <w:lang w:val="en-US" w:eastAsia="zh-CN" w:bidi="ar"/>
              </w:rPr>
              <w:t>分</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single"/>
                <w:lang w:val="en-US" w:eastAsia="zh-CN" w:bidi="ar"/>
              </w:rPr>
              <w:t>投标人拟定的项目经理符合招标文件规定的资格条件；项目经理资质证书和B证年检合格。项目管理人员配置合理，能满足工程管理需要，但专业配置针对性一般，项目主要管理人员持证上岗。</w:t>
            </w: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第三个档次（5-6</w:t>
            </w:r>
            <w:r>
              <w:rPr>
                <w:rFonts w:hint="eastAsia" w:ascii="宋体" w:hAnsi="宋体" w:eastAsia="宋体" w:cs="宋体"/>
                <w:i w:val="0"/>
                <w:iCs w:val="0"/>
                <w:color w:val="auto"/>
                <w:kern w:val="0"/>
                <w:sz w:val="21"/>
                <w:szCs w:val="21"/>
                <w:highlight w:val="none"/>
                <w:u w:val="single"/>
                <w:lang w:val="en-US" w:eastAsia="zh-CN" w:bidi="ar"/>
              </w:rPr>
              <w:t>分</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single"/>
                <w:lang w:val="en-US" w:eastAsia="zh-CN" w:bidi="ar"/>
              </w:rPr>
              <w:t>投标人拟定的项目经理符合招标文件规定的资格条件；项目经理资质证书和B证年检合格。项目管理人员配置基本满足工程管理需要，专业配置缺乏针对性，项目主要管理人员持证上岗。</w:t>
            </w: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商务部分（100分）</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工程业绩及其它</w:t>
            </w: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工程业绩：</w:t>
            </w:r>
            <w:r>
              <w:rPr>
                <w:rFonts w:hint="eastAsia" w:ascii="宋体" w:hAnsi="宋体" w:eastAsia="宋体" w:cs="宋体"/>
                <w:i w:val="0"/>
                <w:iCs w:val="0"/>
                <w:color w:val="auto"/>
                <w:kern w:val="0"/>
                <w:sz w:val="21"/>
                <w:szCs w:val="21"/>
                <w:highlight w:val="none"/>
                <w:u w:val="none"/>
                <w:lang w:val="en-US" w:eastAsia="zh-CN" w:bidi="ar"/>
              </w:rPr>
              <w:t>工程业绩满足招标文件要求，投标人近</w:t>
            </w:r>
            <w:r>
              <w:rPr>
                <w:rFonts w:hint="eastAsia" w:ascii="宋体" w:hAnsi="宋体" w:eastAsia="宋体" w:cs="宋体"/>
                <w:i w:val="0"/>
                <w:iCs w:val="0"/>
                <w:color w:val="auto"/>
                <w:kern w:val="0"/>
                <w:sz w:val="21"/>
                <w:szCs w:val="21"/>
                <w:highlight w:val="none"/>
                <w:u w:val="single"/>
                <w:lang w:val="en-US" w:eastAsia="zh-CN" w:bidi="ar"/>
              </w:rPr>
              <w:t xml:space="preserve"> 3 </w:t>
            </w:r>
            <w:r>
              <w:rPr>
                <w:rFonts w:hint="eastAsia" w:ascii="宋体" w:hAnsi="宋体" w:eastAsia="宋体" w:cs="宋体"/>
                <w:i w:val="0"/>
                <w:iCs w:val="0"/>
                <w:color w:val="auto"/>
                <w:kern w:val="0"/>
                <w:sz w:val="21"/>
                <w:szCs w:val="21"/>
                <w:highlight w:val="none"/>
                <w:u w:val="none"/>
                <w:lang w:val="en-US" w:eastAsia="zh-CN" w:bidi="ar"/>
              </w:rPr>
              <w:t xml:space="preserve">年内承担过类似项目业绩超过   </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kern w:val="0"/>
                <w:sz w:val="21"/>
                <w:szCs w:val="21"/>
                <w:highlight w:val="none"/>
                <w:u w:val="single"/>
                <w:lang w:val="en-US" w:eastAsia="zh-CN" w:bidi="ar"/>
              </w:rPr>
              <w:t xml:space="preserve"> 1 个（注意：此数量及要求应与招标文件其余部分内容保持一致）的每增加一个得1分，此项满分为5分。</w:t>
            </w: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9"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优质工程：</w:t>
            </w:r>
            <w:r>
              <w:rPr>
                <w:rFonts w:hint="eastAsia" w:ascii="宋体" w:hAnsi="宋体" w:eastAsia="宋体" w:cs="宋体"/>
                <w:i w:val="0"/>
                <w:iCs w:val="0"/>
                <w:color w:val="auto"/>
                <w:kern w:val="0"/>
                <w:sz w:val="21"/>
                <w:szCs w:val="21"/>
                <w:highlight w:val="none"/>
                <w:u w:val="none"/>
                <w:lang w:val="en-US" w:eastAsia="zh-CN" w:bidi="ar"/>
              </w:rPr>
              <w:t>承接项目获得优质工程（</w:t>
            </w:r>
            <w:r>
              <w:rPr>
                <w:rFonts w:hint="eastAsia" w:ascii="宋体" w:hAnsi="宋体" w:eastAsia="宋体" w:cs="宋体"/>
                <w:i w:val="0"/>
                <w:iCs w:val="0"/>
                <w:color w:val="auto"/>
                <w:kern w:val="0"/>
                <w:sz w:val="21"/>
                <w:szCs w:val="21"/>
                <w:highlight w:val="none"/>
                <w:u w:val="single"/>
                <w:lang w:val="en-US" w:eastAsia="zh-CN" w:bidi="ar"/>
              </w:rPr>
              <w:t xml:space="preserve">    省优或国优     </w:t>
            </w:r>
            <w:r>
              <w:rPr>
                <w:rFonts w:hint="eastAsia" w:ascii="宋体" w:hAnsi="宋体" w:eastAsia="宋体" w:cs="宋体"/>
                <w:i w:val="0"/>
                <w:iCs w:val="0"/>
                <w:color w:val="auto"/>
                <w:kern w:val="0"/>
                <w:sz w:val="21"/>
                <w:szCs w:val="21"/>
                <w:highlight w:val="none"/>
                <w:u w:val="none"/>
                <w:lang w:val="en-US" w:eastAsia="zh-CN" w:bidi="ar"/>
              </w:rPr>
              <w:t>）的等级和个数等满足招标文件要求，投标人近</w:t>
            </w:r>
            <w:r>
              <w:rPr>
                <w:rFonts w:hint="eastAsia" w:ascii="宋体" w:hAnsi="宋体" w:eastAsia="宋体" w:cs="宋体"/>
                <w:i w:val="0"/>
                <w:iCs w:val="0"/>
                <w:color w:val="auto"/>
                <w:kern w:val="0"/>
                <w:sz w:val="21"/>
                <w:szCs w:val="21"/>
                <w:highlight w:val="none"/>
                <w:u w:val="single"/>
                <w:lang w:val="en-US" w:eastAsia="zh-CN" w:bidi="ar"/>
              </w:rPr>
              <w:t xml:space="preserve"> 3 </w:t>
            </w:r>
            <w:r>
              <w:rPr>
                <w:rFonts w:hint="eastAsia" w:ascii="宋体" w:hAnsi="宋体" w:eastAsia="宋体" w:cs="宋体"/>
                <w:i w:val="0"/>
                <w:iCs w:val="0"/>
                <w:color w:val="auto"/>
                <w:kern w:val="0"/>
                <w:sz w:val="21"/>
                <w:szCs w:val="21"/>
                <w:highlight w:val="none"/>
                <w:u w:val="none"/>
                <w:lang w:val="en-US" w:eastAsia="zh-CN" w:bidi="ar"/>
              </w:rPr>
              <w:t>年内承担项目获得优质工程（</w:t>
            </w:r>
            <w:r>
              <w:rPr>
                <w:rFonts w:hint="eastAsia" w:ascii="宋体" w:hAnsi="宋体" w:eastAsia="宋体" w:cs="宋体"/>
                <w:i w:val="0"/>
                <w:iCs w:val="0"/>
                <w:color w:val="auto"/>
                <w:kern w:val="0"/>
                <w:sz w:val="21"/>
                <w:szCs w:val="21"/>
                <w:highlight w:val="none"/>
                <w:u w:val="single"/>
                <w:lang w:val="en-US" w:eastAsia="zh-CN" w:bidi="ar"/>
              </w:rPr>
              <w:t xml:space="preserve">   省优或国优  </w:t>
            </w:r>
            <w:r>
              <w:rPr>
                <w:rFonts w:hint="eastAsia" w:ascii="宋体" w:hAnsi="宋体" w:eastAsia="宋体" w:cs="宋体"/>
                <w:i w:val="0"/>
                <w:iCs w:val="0"/>
                <w:color w:val="auto"/>
                <w:kern w:val="0"/>
                <w:sz w:val="21"/>
                <w:szCs w:val="21"/>
                <w:highlight w:val="none"/>
                <w:u w:val="none"/>
                <w:lang w:val="en-US" w:eastAsia="zh-CN" w:bidi="ar"/>
              </w:rPr>
              <w:t>）超过</w:t>
            </w:r>
            <w:r>
              <w:rPr>
                <w:rFonts w:hint="eastAsia" w:ascii="宋体" w:hAnsi="宋体" w:eastAsia="宋体" w:cs="宋体"/>
                <w:i w:val="0"/>
                <w:iCs w:val="0"/>
                <w:color w:val="auto"/>
                <w:kern w:val="0"/>
                <w:sz w:val="21"/>
                <w:szCs w:val="21"/>
                <w:highlight w:val="none"/>
                <w:u w:val="single"/>
                <w:lang w:val="en-US" w:eastAsia="zh-CN" w:bidi="ar"/>
              </w:rPr>
              <w:t xml:space="preserve"> 1   </w:t>
            </w:r>
            <w:r>
              <w:rPr>
                <w:rFonts w:hint="eastAsia" w:ascii="宋体" w:hAnsi="宋体" w:eastAsia="宋体" w:cs="宋体"/>
                <w:i w:val="0"/>
                <w:iCs w:val="0"/>
                <w:color w:val="auto"/>
                <w:kern w:val="0"/>
                <w:sz w:val="21"/>
                <w:szCs w:val="21"/>
                <w:highlight w:val="none"/>
                <w:u w:val="none"/>
                <w:lang w:val="en-US" w:eastAsia="zh-CN" w:bidi="ar"/>
              </w:rPr>
              <w:t>个（注意：此数量及要求应与招标文件其余部分内容保持一致）的每增加一个得1分，此项满分为5分。</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投标报价</w:t>
            </w: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投标报价评审得分满分分值为</w:t>
            </w:r>
            <w:r>
              <w:rPr>
                <w:rFonts w:hint="eastAsia" w:ascii="宋体" w:hAnsi="宋体" w:eastAsia="宋体" w:cs="宋体"/>
                <w:i w:val="0"/>
                <w:iCs w:val="0"/>
                <w:color w:val="auto"/>
                <w:kern w:val="0"/>
                <w:sz w:val="21"/>
                <w:szCs w:val="21"/>
                <w:highlight w:val="none"/>
                <w:u w:val="single"/>
                <w:lang w:val="en-US" w:eastAsia="zh-CN" w:bidi="ar"/>
              </w:rPr>
              <w:t>90</w:t>
            </w:r>
            <w:r>
              <w:rPr>
                <w:rFonts w:hint="eastAsia" w:ascii="宋体" w:hAnsi="宋体" w:eastAsia="宋体" w:cs="宋体"/>
                <w:i w:val="0"/>
                <w:iCs w:val="0"/>
                <w:color w:val="auto"/>
                <w:kern w:val="0"/>
                <w:sz w:val="21"/>
                <w:szCs w:val="21"/>
                <w:highlight w:val="none"/>
                <w:u w:val="none"/>
                <w:lang w:val="en-US" w:eastAsia="zh-CN" w:bidi="ar"/>
              </w:rPr>
              <w:t>分，合理的最低投标报价（不低于成本价）得满分，每上浮1%扣</w:t>
            </w:r>
            <w:r>
              <w:rPr>
                <w:rFonts w:hint="eastAsia" w:ascii="宋体" w:hAnsi="宋体" w:eastAsia="宋体" w:cs="宋体"/>
                <w:i w:val="0"/>
                <w:iCs w:val="0"/>
                <w:color w:val="auto"/>
                <w:kern w:val="0"/>
                <w:sz w:val="21"/>
                <w:szCs w:val="21"/>
                <w:highlight w:val="none"/>
                <w:u w:val="single"/>
                <w:lang w:val="en-US" w:eastAsia="zh-CN" w:bidi="ar"/>
              </w:rPr>
              <w:t xml:space="preserve"> 2  </w:t>
            </w:r>
            <w:r>
              <w:rPr>
                <w:rFonts w:hint="eastAsia" w:ascii="宋体" w:hAnsi="宋体" w:eastAsia="宋体" w:cs="宋体"/>
                <w:i w:val="0"/>
                <w:iCs w:val="0"/>
                <w:color w:val="auto"/>
                <w:kern w:val="0"/>
                <w:sz w:val="21"/>
                <w:szCs w:val="21"/>
                <w:highlight w:val="none"/>
                <w:u w:val="none"/>
                <w:lang w:val="en-US" w:eastAsia="zh-CN" w:bidi="ar"/>
              </w:rPr>
              <w:t>分，分值扣完为止。（扣减分值的中间值用插入法，小数点后保留两位）。</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bl>
    <w:p>
      <w:pPr>
        <w:widowControl/>
        <w:outlineLvl w:val="9"/>
        <w:rPr>
          <w:rFonts w:hint="eastAsia" w:ascii="宋体" w:hAnsi="宋体" w:eastAsia="宋体" w:cs="宋体"/>
          <w:b/>
          <w:bCs/>
          <w:color w:val="auto"/>
          <w:kern w:val="0"/>
          <w:sz w:val="21"/>
          <w:szCs w:val="21"/>
          <w:highlight w:val="none"/>
          <w:lang w:val="en-US" w:eastAsia="zh-CN"/>
        </w:rPr>
      </w:pPr>
    </w:p>
    <w:p>
      <w:pPr>
        <w:widowControl/>
        <w:outlineLvl w:val="9"/>
        <w:rPr>
          <w:rFonts w:hint="eastAsia" w:ascii="宋体" w:hAnsi="宋体" w:eastAsia="宋体" w:cs="宋体"/>
          <w:b/>
          <w:bCs/>
          <w:color w:val="auto"/>
          <w:kern w:val="0"/>
          <w:sz w:val="21"/>
          <w:szCs w:val="21"/>
          <w:highlight w:val="none"/>
          <w:lang w:val="en-US" w:eastAsia="zh-CN"/>
        </w:rPr>
      </w:pPr>
    </w:p>
    <w:p>
      <w:pPr>
        <w:widowControl/>
        <w:outlineLvl w:val="9"/>
        <w:rPr>
          <w:rFonts w:hint="eastAsia" w:ascii="宋体" w:hAnsi="宋体" w:eastAsia="宋体" w:cs="宋体"/>
          <w:b/>
          <w:bCs/>
          <w:color w:val="auto"/>
          <w:kern w:val="0"/>
          <w:sz w:val="21"/>
          <w:szCs w:val="21"/>
          <w:highlight w:val="none"/>
          <w:lang w:val="en-US" w:eastAsia="zh-CN"/>
        </w:rPr>
      </w:pPr>
    </w:p>
    <w:p>
      <w:pPr>
        <w:widowControl/>
        <w:outlineLvl w:val="9"/>
        <w:rPr>
          <w:rFonts w:hint="eastAsia" w:ascii="宋体" w:hAnsi="宋体" w:eastAsia="宋体" w:cs="宋体"/>
          <w:b/>
          <w:bCs/>
          <w:color w:val="auto"/>
          <w:kern w:val="0"/>
          <w:sz w:val="21"/>
          <w:szCs w:val="21"/>
          <w:highlight w:val="none"/>
          <w:lang w:val="en-US" w:eastAsia="zh-CN"/>
        </w:rPr>
      </w:pPr>
    </w:p>
    <w:p>
      <w:pPr>
        <w:widowControl/>
        <w:outlineLvl w:val="9"/>
        <w:rPr>
          <w:rFonts w:hint="eastAsia" w:ascii="宋体" w:hAnsi="宋体" w:eastAsia="宋体" w:cs="宋体"/>
          <w:b/>
          <w:bCs/>
          <w:color w:val="auto"/>
          <w:kern w:val="0"/>
          <w:sz w:val="21"/>
          <w:szCs w:val="21"/>
          <w:highlight w:val="none"/>
          <w:lang w:val="en-US" w:eastAsia="zh-CN"/>
        </w:rPr>
      </w:pPr>
    </w:p>
    <w:p>
      <w:pPr>
        <w:widowControl/>
        <w:outlineLvl w:val="9"/>
        <w:rPr>
          <w:rFonts w:hint="eastAsia" w:ascii="宋体" w:hAnsi="宋体" w:eastAsia="宋体" w:cs="宋体"/>
          <w:b/>
          <w:bCs/>
          <w:color w:val="auto"/>
          <w:kern w:val="0"/>
          <w:sz w:val="21"/>
          <w:szCs w:val="21"/>
          <w:highlight w:val="none"/>
          <w:lang w:val="en-US" w:eastAsia="zh-CN"/>
        </w:rPr>
      </w:pPr>
    </w:p>
    <w:p>
      <w:pPr>
        <w:widowControl/>
        <w:outlineLvl w:val="9"/>
        <w:rPr>
          <w:rFonts w:hint="eastAsia" w:ascii="宋体" w:hAnsi="宋体" w:eastAsia="宋体" w:cs="宋体"/>
          <w:b/>
          <w:bCs/>
          <w:color w:val="auto"/>
          <w:kern w:val="0"/>
          <w:sz w:val="21"/>
          <w:szCs w:val="21"/>
          <w:highlight w:val="none"/>
          <w:lang w:val="en-US" w:eastAsia="zh-CN"/>
        </w:rPr>
      </w:pPr>
    </w:p>
    <w:p>
      <w:pPr>
        <w:widowControl/>
        <w:outlineLvl w:val="9"/>
        <w:rPr>
          <w:rFonts w:hint="eastAsia" w:ascii="宋体" w:hAnsi="宋体" w:eastAsia="宋体" w:cs="宋体"/>
          <w:b/>
          <w:bCs/>
          <w:color w:val="auto"/>
          <w:kern w:val="0"/>
          <w:sz w:val="21"/>
          <w:szCs w:val="21"/>
          <w:highlight w:val="none"/>
          <w:lang w:val="en-US" w:eastAsia="zh-CN"/>
        </w:rPr>
      </w:pPr>
    </w:p>
    <w:p>
      <w:pPr>
        <w:widowControl/>
        <w:outlineLvl w:val="9"/>
        <w:rPr>
          <w:rFonts w:hint="eastAsia" w:ascii="宋体" w:hAnsi="宋体" w:eastAsia="宋体" w:cs="宋体"/>
          <w:b/>
          <w:bCs/>
          <w:color w:val="auto"/>
          <w:kern w:val="0"/>
          <w:sz w:val="21"/>
          <w:szCs w:val="21"/>
          <w:highlight w:val="none"/>
          <w:lang w:val="en-US" w:eastAsia="zh-CN"/>
        </w:rPr>
      </w:pPr>
    </w:p>
    <w:p>
      <w:pPr>
        <w:widowControl/>
        <w:outlineLvl w:val="9"/>
        <w:rPr>
          <w:rFonts w:hint="eastAsia" w:ascii="宋体" w:hAnsi="宋体" w:eastAsia="宋体" w:cs="宋体"/>
          <w:b/>
          <w:bCs/>
          <w:color w:val="auto"/>
          <w:kern w:val="0"/>
          <w:sz w:val="21"/>
          <w:szCs w:val="21"/>
          <w:highlight w:val="none"/>
          <w:lang w:val="en-US" w:eastAsia="zh-CN"/>
        </w:rPr>
      </w:pPr>
    </w:p>
    <w:p>
      <w:pPr>
        <w:widowControl/>
        <w:outlineLvl w:val="9"/>
        <w:rPr>
          <w:rFonts w:hint="eastAsia" w:ascii="宋体" w:hAnsi="宋体" w:eastAsia="宋体" w:cs="宋体"/>
          <w:b/>
          <w:bCs/>
          <w:color w:val="auto"/>
          <w:kern w:val="0"/>
          <w:sz w:val="21"/>
          <w:szCs w:val="21"/>
          <w:highlight w:val="none"/>
          <w:lang w:val="en-US" w:eastAsia="zh-CN"/>
        </w:rPr>
      </w:pPr>
    </w:p>
    <w:p>
      <w:pPr>
        <w:widowControl/>
        <w:outlineLvl w:val="9"/>
        <w:rPr>
          <w:rFonts w:hint="eastAsia" w:ascii="宋体" w:hAnsi="宋体" w:eastAsia="宋体" w:cs="宋体"/>
          <w:b/>
          <w:bCs/>
          <w:color w:val="auto"/>
          <w:kern w:val="0"/>
          <w:sz w:val="21"/>
          <w:szCs w:val="21"/>
          <w:highlight w:val="none"/>
          <w:lang w:val="en-US" w:eastAsia="zh-CN"/>
        </w:rPr>
      </w:pPr>
    </w:p>
    <w:p>
      <w:pPr>
        <w:widowControl/>
        <w:outlineLvl w:val="9"/>
        <w:rPr>
          <w:rFonts w:hint="eastAsia" w:ascii="宋体" w:hAnsi="宋体" w:eastAsia="宋体" w:cs="宋体"/>
          <w:b/>
          <w:bCs/>
          <w:color w:val="auto"/>
          <w:kern w:val="0"/>
          <w:sz w:val="21"/>
          <w:szCs w:val="21"/>
          <w:highlight w:val="none"/>
          <w:lang w:val="en-US" w:eastAsia="zh-CN"/>
        </w:rPr>
      </w:pPr>
    </w:p>
    <w:p>
      <w:pPr>
        <w:pStyle w:val="23"/>
        <w:ind w:left="0" w:leftChars="0" w:firstLine="0" w:firstLineChars="0"/>
        <w:rPr>
          <w:rFonts w:hint="eastAsia" w:ascii="宋体" w:hAnsi="宋体" w:cs="宋体"/>
          <w:b/>
          <w:bCs/>
          <w:color w:val="auto"/>
          <w:kern w:val="0"/>
          <w:sz w:val="21"/>
          <w:szCs w:val="21"/>
          <w:highlight w:val="none"/>
          <w:lang w:val="en-US" w:eastAsia="zh-CN"/>
        </w:rPr>
      </w:pPr>
    </w:p>
    <w:p>
      <w:pPr>
        <w:widowControl/>
        <w:outlineLvl w:val="1"/>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评标办法二</w:t>
      </w:r>
      <w:r>
        <w:rPr>
          <w:rFonts w:hint="eastAsia" w:ascii="宋体" w:hAnsi="宋体" w:eastAsia="宋体" w:cs="宋体"/>
          <w:b/>
          <w:bCs/>
          <w:color w:val="auto"/>
          <w:kern w:val="0"/>
          <w:sz w:val="21"/>
          <w:szCs w:val="21"/>
          <w:highlight w:val="none"/>
          <w:lang w:val="en-US" w:eastAsia="zh-CN"/>
        </w:rPr>
        <w:t>：综合评估法</w:t>
      </w:r>
    </w:p>
    <w:p>
      <w:pPr>
        <w:pStyle w:val="23"/>
        <w:rPr>
          <w:rFonts w:hint="eastAsia"/>
          <w:color w:val="auto"/>
          <w:highlight w:val="none"/>
          <w:lang w:val="en-US" w:eastAsia="zh-CN"/>
        </w:rPr>
      </w:pPr>
    </w:p>
    <w:tbl>
      <w:tblPr>
        <w:tblStyle w:val="24"/>
        <w:tblW w:w="10157" w:type="dxa"/>
        <w:tblInd w:w="-5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5"/>
        <w:gridCol w:w="865"/>
        <w:gridCol w:w="866"/>
        <w:gridCol w:w="5831"/>
        <w:gridCol w:w="865"/>
        <w:gridCol w:w="8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7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评审</w:t>
            </w:r>
          </w:p>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因素</w:t>
            </w:r>
          </w:p>
        </w:tc>
        <w:tc>
          <w:tcPr>
            <w:tcW w:w="5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评审标准</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各项最高分值</w:t>
            </w:r>
          </w:p>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权重系数（%）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7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技术部分（100分）</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内容完整和编制水平</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第一个档次（</w:t>
            </w:r>
            <w:r>
              <w:rPr>
                <w:rFonts w:hint="eastAsia" w:ascii="宋体" w:hAnsi="宋体" w:eastAsia="宋体" w:cs="宋体"/>
                <w:i w:val="0"/>
                <w:iCs w:val="0"/>
                <w:color w:val="auto"/>
                <w:kern w:val="0"/>
                <w:sz w:val="21"/>
                <w:szCs w:val="21"/>
                <w:highlight w:val="none"/>
                <w:u w:val="single"/>
                <w:lang w:val="en-US" w:eastAsia="zh-CN" w:bidi="ar"/>
              </w:rPr>
              <w:t>4-5分</w:t>
            </w:r>
            <w:r>
              <w:rPr>
                <w:rFonts w:hint="eastAsia" w:ascii="宋体" w:hAnsi="宋体" w:eastAsia="宋体" w:cs="宋体"/>
                <w:i w:val="0"/>
                <w:iCs w:val="0"/>
                <w:color w:val="auto"/>
                <w:kern w:val="0"/>
                <w:sz w:val="21"/>
                <w:szCs w:val="21"/>
                <w:highlight w:val="none"/>
                <w:u w:val="none"/>
                <w:lang w:val="en-US" w:eastAsia="zh-CN" w:bidi="ar"/>
              </w:rPr>
              <w:t>）：版面整齐</w:t>
            </w:r>
            <w:r>
              <w:rPr>
                <w:rFonts w:hint="eastAsia" w:ascii="宋体" w:hAnsi="宋体" w:eastAsia="宋体" w:cs="宋体"/>
                <w:i w:val="0"/>
                <w:iCs w:val="0"/>
                <w:color w:val="auto"/>
                <w:kern w:val="0"/>
                <w:sz w:val="21"/>
                <w:szCs w:val="21"/>
                <w:highlight w:val="none"/>
                <w:u w:val="singl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表述清晰</w:t>
            </w:r>
            <w:r>
              <w:rPr>
                <w:rFonts w:hint="eastAsia" w:ascii="宋体" w:hAnsi="宋体" w:eastAsia="宋体" w:cs="宋体"/>
                <w:i w:val="0"/>
                <w:iCs w:val="0"/>
                <w:color w:val="auto"/>
                <w:kern w:val="0"/>
                <w:sz w:val="21"/>
                <w:szCs w:val="21"/>
                <w:highlight w:val="none"/>
                <w:u w:val="singl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内容全面、准确</w:t>
            </w:r>
            <w:r>
              <w:rPr>
                <w:rFonts w:hint="eastAsia" w:ascii="宋体" w:hAnsi="宋体" w:eastAsia="宋体" w:cs="宋体"/>
                <w:i w:val="0"/>
                <w:iCs w:val="0"/>
                <w:color w:val="auto"/>
                <w:kern w:val="0"/>
                <w:sz w:val="21"/>
                <w:szCs w:val="21"/>
                <w:highlight w:val="none"/>
                <w:u w:val="singl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图文</w:t>
            </w:r>
            <w:r>
              <w:rPr>
                <w:rFonts w:hint="eastAsia" w:ascii="宋体" w:hAnsi="宋体" w:eastAsia="宋体" w:cs="宋体"/>
                <w:i w:val="0"/>
                <w:iCs w:val="0"/>
                <w:color w:val="auto"/>
                <w:kern w:val="0"/>
                <w:sz w:val="21"/>
                <w:szCs w:val="21"/>
                <w:highlight w:val="none"/>
                <w:u w:val="single"/>
                <w:lang w:val="en-US" w:eastAsia="zh-CN" w:bidi="ar"/>
              </w:rPr>
              <w:t>并茂，未出现格式等错误。</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kern w:val="0"/>
                <w:sz w:val="21"/>
                <w:szCs w:val="21"/>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第二个档次（</w:t>
            </w:r>
            <w:r>
              <w:rPr>
                <w:rFonts w:hint="eastAsia" w:ascii="宋体" w:hAnsi="宋体" w:eastAsia="宋体" w:cs="宋体"/>
                <w:i w:val="0"/>
                <w:iCs w:val="0"/>
                <w:color w:val="auto"/>
                <w:kern w:val="0"/>
                <w:sz w:val="21"/>
                <w:szCs w:val="21"/>
                <w:highlight w:val="none"/>
                <w:u w:val="single"/>
                <w:lang w:val="en-US" w:eastAsia="zh-CN" w:bidi="ar"/>
              </w:rPr>
              <w:t>2-3分</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single"/>
                <w:lang w:val="en-US" w:eastAsia="zh-CN" w:bidi="ar"/>
              </w:rPr>
              <w:t>版面不够整齐，表述不够清晰，内容不够完整、准确，缺（少）图。</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对项目的理解、重难点分析及合理化建议</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第一个档次（</w:t>
            </w:r>
            <w:r>
              <w:rPr>
                <w:rFonts w:hint="eastAsia" w:ascii="宋体" w:hAnsi="宋体" w:eastAsia="宋体" w:cs="宋体"/>
                <w:i w:val="0"/>
                <w:iCs w:val="0"/>
                <w:color w:val="auto"/>
                <w:kern w:val="0"/>
                <w:sz w:val="21"/>
                <w:szCs w:val="21"/>
                <w:highlight w:val="none"/>
                <w:u w:val="single"/>
                <w:lang w:val="en-US" w:eastAsia="zh-CN" w:bidi="ar"/>
              </w:rPr>
              <w:t>8-10分</w:t>
            </w:r>
            <w:r>
              <w:rPr>
                <w:rFonts w:hint="eastAsia" w:ascii="宋体" w:hAnsi="宋体" w:eastAsia="宋体" w:cs="宋体"/>
                <w:i w:val="0"/>
                <w:iCs w:val="0"/>
                <w:color w:val="auto"/>
                <w:kern w:val="0"/>
                <w:sz w:val="21"/>
                <w:szCs w:val="21"/>
                <w:highlight w:val="none"/>
                <w:u w:val="none"/>
                <w:lang w:val="en-US" w:eastAsia="zh-CN" w:bidi="ar"/>
              </w:rPr>
              <w:t>）：对招标项目</w:t>
            </w:r>
            <w:r>
              <w:rPr>
                <w:rFonts w:hint="eastAsia" w:ascii="宋体" w:hAnsi="宋体" w:eastAsia="宋体" w:cs="宋体"/>
                <w:i w:val="0"/>
                <w:iCs w:val="0"/>
                <w:color w:val="auto"/>
                <w:kern w:val="0"/>
                <w:sz w:val="21"/>
                <w:szCs w:val="21"/>
                <w:highlight w:val="none"/>
                <w:u w:val="single"/>
                <w:lang w:val="en-US" w:eastAsia="zh-CN" w:bidi="ar"/>
              </w:rPr>
              <w:t>的</w:t>
            </w:r>
            <w:r>
              <w:rPr>
                <w:rFonts w:hint="eastAsia" w:ascii="宋体" w:hAnsi="宋体" w:eastAsia="宋体" w:cs="宋体"/>
                <w:i w:val="0"/>
                <w:iCs w:val="0"/>
                <w:color w:val="auto"/>
                <w:kern w:val="0"/>
                <w:sz w:val="21"/>
                <w:szCs w:val="21"/>
                <w:highlight w:val="none"/>
                <w:u w:val="none"/>
                <w:lang w:val="en-US" w:eastAsia="zh-CN" w:bidi="ar"/>
              </w:rPr>
              <w:t>关键技术、工艺</w:t>
            </w:r>
            <w:r>
              <w:rPr>
                <w:rFonts w:hint="eastAsia" w:ascii="宋体" w:hAnsi="宋体" w:eastAsia="宋体" w:cs="宋体"/>
                <w:i w:val="0"/>
                <w:iCs w:val="0"/>
                <w:color w:val="auto"/>
                <w:kern w:val="0"/>
                <w:sz w:val="21"/>
                <w:szCs w:val="21"/>
                <w:highlight w:val="none"/>
                <w:u w:val="single"/>
                <w:lang w:val="en-US" w:eastAsia="zh-CN" w:bidi="ar"/>
              </w:rPr>
              <w:t>有明确、深入的</w:t>
            </w:r>
            <w:r>
              <w:rPr>
                <w:rFonts w:hint="eastAsia" w:ascii="宋体" w:hAnsi="宋体" w:eastAsia="宋体" w:cs="宋体"/>
                <w:i w:val="0"/>
                <w:iCs w:val="0"/>
                <w:color w:val="auto"/>
                <w:kern w:val="0"/>
                <w:sz w:val="21"/>
                <w:szCs w:val="21"/>
                <w:highlight w:val="none"/>
                <w:u w:val="none"/>
                <w:lang w:val="en-US" w:eastAsia="zh-CN" w:bidi="ar"/>
              </w:rPr>
              <w:t>表述</w:t>
            </w:r>
            <w:r>
              <w:rPr>
                <w:rFonts w:hint="eastAsia" w:ascii="宋体" w:hAnsi="宋体" w:eastAsia="宋体" w:cs="宋体"/>
                <w:i w:val="0"/>
                <w:iCs w:val="0"/>
                <w:color w:val="auto"/>
                <w:kern w:val="0"/>
                <w:sz w:val="21"/>
                <w:szCs w:val="21"/>
                <w:highlight w:val="none"/>
                <w:u w:val="singl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对施工重点、难点、经济、安全的解决方案和保证措施方案及合理化建议切实可行。</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第二个档次（</w:t>
            </w:r>
            <w:r>
              <w:rPr>
                <w:rFonts w:hint="eastAsia" w:ascii="宋体" w:hAnsi="宋体" w:eastAsia="宋体" w:cs="宋体"/>
                <w:i w:val="0"/>
                <w:iCs w:val="0"/>
                <w:color w:val="auto"/>
                <w:kern w:val="0"/>
                <w:sz w:val="21"/>
                <w:szCs w:val="21"/>
                <w:highlight w:val="none"/>
                <w:u w:val="single"/>
                <w:lang w:val="en-US" w:eastAsia="zh-CN" w:bidi="ar"/>
              </w:rPr>
              <w:t>5-7分</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single"/>
                <w:lang w:val="en-US" w:eastAsia="zh-CN" w:bidi="ar"/>
              </w:rPr>
              <w:t>对招标项目的关键技术、工艺有较明确的表述，对施工重点、难点、经济、安全的解决方案和保证措施方案及合理化建议可行。</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第三个档次（</w:t>
            </w:r>
            <w:r>
              <w:rPr>
                <w:rFonts w:hint="eastAsia" w:ascii="宋体" w:hAnsi="宋体" w:eastAsia="宋体" w:cs="宋体"/>
                <w:i w:val="0"/>
                <w:iCs w:val="0"/>
                <w:color w:val="auto"/>
                <w:kern w:val="0"/>
                <w:sz w:val="21"/>
                <w:szCs w:val="21"/>
                <w:highlight w:val="none"/>
                <w:u w:val="single"/>
                <w:lang w:val="en-US" w:eastAsia="zh-CN" w:bidi="ar"/>
              </w:rPr>
              <w:t>2-4分</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single"/>
                <w:lang w:val="en-US" w:eastAsia="zh-CN" w:bidi="ar"/>
              </w:rPr>
              <w:t>对招标项目的关键技术、工艺的表述不够明确，对施工重点、难点、经济、安全的解决方案和保证措施方案及合理化建议基本可行。</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施工方案与技术措施</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第一个档次（</w:t>
            </w:r>
            <w:r>
              <w:rPr>
                <w:rFonts w:hint="eastAsia" w:ascii="宋体" w:hAnsi="宋体" w:eastAsia="宋体" w:cs="宋体"/>
                <w:i w:val="0"/>
                <w:iCs w:val="0"/>
                <w:color w:val="auto"/>
                <w:kern w:val="0"/>
                <w:sz w:val="21"/>
                <w:szCs w:val="21"/>
                <w:highlight w:val="none"/>
                <w:u w:val="single"/>
                <w:lang w:val="en-US" w:eastAsia="zh-CN" w:bidi="ar"/>
              </w:rPr>
              <w:t>13-15分</w:t>
            </w:r>
            <w:r>
              <w:rPr>
                <w:rFonts w:hint="eastAsia" w:ascii="宋体" w:hAnsi="宋体" w:eastAsia="宋体" w:cs="宋体"/>
                <w:i w:val="0"/>
                <w:iCs w:val="0"/>
                <w:color w:val="auto"/>
                <w:kern w:val="0"/>
                <w:sz w:val="21"/>
                <w:szCs w:val="21"/>
                <w:highlight w:val="none"/>
                <w:u w:val="none"/>
                <w:lang w:val="en-US" w:eastAsia="zh-CN" w:bidi="ar"/>
              </w:rPr>
              <w:t>）：对项目总体概况表述清晰、完整</w:t>
            </w:r>
            <w:r>
              <w:rPr>
                <w:rFonts w:hint="eastAsia" w:ascii="宋体" w:hAnsi="宋体" w:eastAsia="宋体" w:cs="宋体"/>
                <w:i w:val="0"/>
                <w:iCs w:val="0"/>
                <w:color w:val="auto"/>
                <w:kern w:val="0"/>
                <w:sz w:val="21"/>
                <w:szCs w:val="21"/>
                <w:highlight w:val="none"/>
                <w:u w:val="singl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部署及措施先进、可靠</w:t>
            </w:r>
            <w:r>
              <w:rPr>
                <w:rFonts w:hint="eastAsia" w:ascii="宋体" w:hAnsi="宋体" w:eastAsia="宋体" w:cs="宋体"/>
                <w:i w:val="0"/>
                <w:iCs w:val="0"/>
                <w:color w:val="auto"/>
                <w:kern w:val="0"/>
                <w:sz w:val="21"/>
                <w:szCs w:val="21"/>
                <w:highlight w:val="none"/>
                <w:u w:val="singl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符合环保、安全、文明生产要求。</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第二个档次（</w:t>
            </w:r>
            <w:r>
              <w:rPr>
                <w:rFonts w:hint="eastAsia" w:ascii="宋体" w:hAnsi="宋体" w:eastAsia="宋体" w:cs="宋体"/>
                <w:i w:val="0"/>
                <w:iCs w:val="0"/>
                <w:color w:val="auto"/>
                <w:kern w:val="0"/>
                <w:sz w:val="21"/>
                <w:szCs w:val="21"/>
                <w:highlight w:val="none"/>
                <w:u w:val="single"/>
                <w:lang w:val="en-US" w:eastAsia="zh-CN" w:bidi="ar"/>
              </w:rPr>
              <w:t>10-12分</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single"/>
                <w:lang w:val="en-US" w:eastAsia="zh-CN" w:bidi="ar"/>
              </w:rPr>
              <w:t>对项目总体概况表述较清晰、完整；部署及措施具体较可靠；较符合环保、安全、文明生产要求。</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第三个档次（</w:t>
            </w:r>
            <w:r>
              <w:rPr>
                <w:rFonts w:hint="eastAsia" w:ascii="宋体" w:hAnsi="宋体" w:eastAsia="宋体" w:cs="宋体"/>
                <w:i w:val="0"/>
                <w:iCs w:val="0"/>
                <w:color w:val="auto"/>
                <w:kern w:val="0"/>
                <w:sz w:val="21"/>
                <w:szCs w:val="21"/>
                <w:highlight w:val="none"/>
                <w:u w:val="single"/>
                <w:lang w:val="en-US" w:eastAsia="zh-CN" w:bidi="ar"/>
              </w:rPr>
              <w:t>7-9分</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single"/>
                <w:lang w:val="en-US" w:eastAsia="zh-CN" w:bidi="ar"/>
              </w:rPr>
              <w:t>对项目总体概况表述不够清晰；部署及措施不够具体；对项目主要及关键方案表述不够清晰。</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质量管理体系与措施</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第一个档次（</w:t>
            </w:r>
            <w:r>
              <w:rPr>
                <w:rFonts w:hint="eastAsia" w:ascii="宋体" w:hAnsi="宋体" w:eastAsia="宋体" w:cs="宋体"/>
                <w:i w:val="0"/>
                <w:iCs w:val="0"/>
                <w:color w:val="auto"/>
                <w:kern w:val="0"/>
                <w:sz w:val="21"/>
                <w:szCs w:val="21"/>
                <w:highlight w:val="none"/>
                <w:u w:val="single"/>
                <w:lang w:val="en-US" w:eastAsia="zh-CN" w:bidi="ar"/>
              </w:rPr>
              <w:t>13-15分</w:t>
            </w:r>
            <w:r>
              <w:rPr>
                <w:rFonts w:hint="eastAsia" w:ascii="宋体" w:hAnsi="宋体" w:eastAsia="宋体" w:cs="宋体"/>
                <w:i w:val="0"/>
                <w:iCs w:val="0"/>
                <w:color w:val="auto"/>
                <w:kern w:val="0"/>
                <w:sz w:val="21"/>
                <w:szCs w:val="21"/>
                <w:highlight w:val="none"/>
                <w:u w:val="none"/>
                <w:lang w:val="en-US" w:eastAsia="zh-CN" w:bidi="ar"/>
              </w:rPr>
              <w:t>）：质量符合或优于招标文件要求且目标明确</w:t>
            </w:r>
            <w:r>
              <w:rPr>
                <w:rFonts w:hint="eastAsia" w:ascii="宋体" w:hAnsi="宋体" w:eastAsia="宋体" w:cs="宋体"/>
                <w:i w:val="0"/>
                <w:iCs w:val="0"/>
                <w:color w:val="auto"/>
                <w:kern w:val="0"/>
                <w:sz w:val="21"/>
                <w:szCs w:val="21"/>
                <w:highlight w:val="none"/>
                <w:u w:val="singl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质量管理机构健全</w:t>
            </w:r>
            <w:r>
              <w:rPr>
                <w:rFonts w:hint="eastAsia" w:ascii="宋体" w:hAnsi="宋体" w:eastAsia="宋体" w:cs="宋体"/>
                <w:i w:val="0"/>
                <w:iCs w:val="0"/>
                <w:color w:val="auto"/>
                <w:kern w:val="0"/>
                <w:sz w:val="21"/>
                <w:szCs w:val="21"/>
                <w:highlight w:val="none"/>
                <w:u w:val="singl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职责分工</w:t>
            </w:r>
            <w:r>
              <w:rPr>
                <w:rFonts w:hint="eastAsia" w:ascii="宋体" w:hAnsi="宋体" w:eastAsia="宋体" w:cs="宋体"/>
                <w:i w:val="0"/>
                <w:iCs w:val="0"/>
                <w:color w:val="auto"/>
                <w:kern w:val="0"/>
                <w:sz w:val="21"/>
                <w:szCs w:val="21"/>
                <w:highlight w:val="none"/>
                <w:u w:val="single"/>
                <w:lang w:val="en-US" w:eastAsia="zh-CN" w:bidi="ar"/>
              </w:rPr>
              <w:t>明确；</w:t>
            </w:r>
            <w:r>
              <w:rPr>
                <w:rFonts w:hint="eastAsia" w:ascii="宋体" w:hAnsi="宋体" w:eastAsia="宋体" w:cs="宋体"/>
                <w:i w:val="0"/>
                <w:iCs w:val="0"/>
                <w:color w:val="auto"/>
                <w:kern w:val="0"/>
                <w:sz w:val="21"/>
                <w:szCs w:val="21"/>
                <w:highlight w:val="none"/>
                <w:u w:val="none"/>
                <w:lang w:val="en-US" w:eastAsia="zh-CN" w:bidi="ar"/>
              </w:rPr>
              <w:t>管理制度</w:t>
            </w:r>
            <w:r>
              <w:rPr>
                <w:rFonts w:hint="eastAsia" w:ascii="宋体" w:hAnsi="宋体" w:eastAsia="宋体" w:cs="宋体"/>
                <w:i w:val="0"/>
                <w:iCs w:val="0"/>
                <w:color w:val="auto"/>
                <w:kern w:val="0"/>
                <w:sz w:val="21"/>
                <w:szCs w:val="21"/>
                <w:highlight w:val="none"/>
                <w:u w:val="single"/>
                <w:lang w:val="en-US" w:eastAsia="zh-CN" w:bidi="ar"/>
              </w:rPr>
              <w:t>齐全；</w:t>
            </w:r>
            <w:r>
              <w:rPr>
                <w:rFonts w:hint="eastAsia" w:ascii="宋体" w:hAnsi="宋体" w:eastAsia="宋体" w:cs="宋体"/>
                <w:i w:val="0"/>
                <w:iCs w:val="0"/>
                <w:color w:val="auto"/>
                <w:kern w:val="0"/>
                <w:sz w:val="21"/>
                <w:szCs w:val="21"/>
                <w:highlight w:val="none"/>
                <w:u w:val="none"/>
                <w:lang w:val="en-US" w:eastAsia="zh-CN" w:bidi="ar"/>
              </w:rPr>
              <w:t>实施与监控措施全面、有效。</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第二个档次（</w:t>
            </w:r>
            <w:r>
              <w:rPr>
                <w:rFonts w:hint="eastAsia" w:ascii="宋体" w:hAnsi="宋体" w:eastAsia="宋体" w:cs="宋体"/>
                <w:i w:val="0"/>
                <w:iCs w:val="0"/>
                <w:color w:val="auto"/>
                <w:kern w:val="0"/>
                <w:sz w:val="21"/>
                <w:szCs w:val="21"/>
                <w:highlight w:val="none"/>
                <w:u w:val="single"/>
                <w:lang w:val="en-US" w:eastAsia="zh-CN" w:bidi="ar"/>
              </w:rPr>
              <w:t>10-12分</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single"/>
                <w:lang w:val="en-US" w:eastAsia="zh-CN" w:bidi="ar"/>
              </w:rPr>
              <w:t>质量目标符合或优于招标文件要求且目标明确；管理机构健全，职责分工较明确；管理制度较齐全；实施与监控措施较完整。</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第三个档次（</w:t>
            </w:r>
            <w:r>
              <w:rPr>
                <w:rFonts w:hint="eastAsia" w:ascii="宋体" w:hAnsi="宋体" w:eastAsia="宋体" w:cs="宋体"/>
                <w:i w:val="0"/>
                <w:iCs w:val="0"/>
                <w:color w:val="auto"/>
                <w:kern w:val="0"/>
                <w:sz w:val="21"/>
                <w:szCs w:val="21"/>
                <w:highlight w:val="none"/>
                <w:u w:val="single"/>
                <w:lang w:val="en-US" w:eastAsia="zh-CN" w:bidi="ar"/>
              </w:rPr>
              <w:t>7-9分</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single"/>
                <w:lang w:val="en-US" w:eastAsia="zh-CN" w:bidi="ar"/>
              </w:rPr>
              <w:t>质量目标符合招标文件要求且目标明确；管理机构基本健全，职责分工基本明确；管理制度基本齐全；实施与监控措施基本完整。</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环境保护安全管理体系与措施</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第一个档次（</w:t>
            </w:r>
            <w:r>
              <w:rPr>
                <w:rFonts w:hint="eastAsia" w:ascii="宋体" w:hAnsi="宋体" w:eastAsia="宋体" w:cs="宋体"/>
                <w:i w:val="0"/>
                <w:iCs w:val="0"/>
                <w:color w:val="auto"/>
                <w:kern w:val="0"/>
                <w:sz w:val="21"/>
                <w:szCs w:val="21"/>
                <w:highlight w:val="none"/>
                <w:u w:val="single"/>
                <w:lang w:val="en-US" w:eastAsia="zh-CN" w:bidi="ar"/>
              </w:rPr>
              <w:t>13-15分</w:t>
            </w:r>
            <w:r>
              <w:rPr>
                <w:rFonts w:hint="eastAsia" w:ascii="宋体" w:hAnsi="宋体" w:eastAsia="宋体" w:cs="宋体"/>
                <w:i w:val="0"/>
                <w:iCs w:val="0"/>
                <w:color w:val="auto"/>
                <w:kern w:val="0"/>
                <w:sz w:val="21"/>
                <w:szCs w:val="21"/>
                <w:highlight w:val="none"/>
                <w:u w:val="none"/>
                <w:lang w:val="en-US" w:eastAsia="zh-CN" w:bidi="ar"/>
              </w:rPr>
              <w:t>）：环境保护安全目标符合或优于招标文件的要求</w:t>
            </w:r>
            <w:r>
              <w:rPr>
                <w:rFonts w:hint="eastAsia" w:ascii="宋体" w:hAnsi="宋体" w:eastAsia="宋体" w:cs="宋体"/>
                <w:i w:val="0"/>
                <w:iCs w:val="0"/>
                <w:color w:val="auto"/>
                <w:kern w:val="0"/>
                <w:sz w:val="21"/>
                <w:szCs w:val="21"/>
                <w:highlight w:val="none"/>
                <w:u w:val="singl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安全管理机构健全</w:t>
            </w:r>
            <w:r>
              <w:rPr>
                <w:rFonts w:hint="eastAsia" w:ascii="宋体" w:hAnsi="宋体" w:eastAsia="宋体" w:cs="宋体"/>
                <w:i w:val="0"/>
                <w:iCs w:val="0"/>
                <w:color w:val="auto"/>
                <w:kern w:val="0"/>
                <w:sz w:val="21"/>
                <w:szCs w:val="21"/>
                <w:highlight w:val="none"/>
                <w:u w:val="singl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职责分工</w:t>
            </w:r>
            <w:r>
              <w:rPr>
                <w:rFonts w:hint="eastAsia" w:ascii="宋体" w:hAnsi="宋体" w:eastAsia="宋体" w:cs="宋体"/>
                <w:i w:val="0"/>
                <w:iCs w:val="0"/>
                <w:color w:val="auto"/>
                <w:kern w:val="0"/>
                <w:sz w:val="21"/>
                <w:szCs w:val="21"/>
                <w:highlight w:val="none"/>
                <w:u w:val="single"/>
                <w:lang w:val="en-US" w:eastAsia="zh-CN" w:bidi="ar"/>
              </w:rPr>
              <w:t>明确；</w:t>
            </w:r>
            <w:r>
              <w:rPr>
                <w:rFonts w:hint="eastAsia" w:ascii="宋体" w:hAnsi="宋体" w:eastAsia="宋体" w:cs="宋体"/>
                <w:i w:val="0"/>
                <w:iCs w:val="0"/>
                <w:color w:val="auto"/>
                <w:kern w:val="0"/>
                <w:sz w:val="21"/>
                <w:szCs w:val="21"/>
                <w:highlight w:val="none"/>
                <w:u w:val="none"/>
                <w:lang w:val="en-US" w:eastAsia="zh-CN" w:bidi="ar"/>
              </w:rPr>
              <w:t>管理制度</w:t>
            </w:r>
            <w:r>
              <w:rPr>
                <w:rFonts w:hint="eastAsia" w:ascii="宋体" w:hAnsi="宋体" w:eastAsia="宋体" w:cs="宋体"/>
                <w:i w:val="0"/>
                <w:iCs w:val="0"/>
                <w:color w:val="auto"/>
                <w:kern w:val="0"/>
                <w:sz w:val="21"/>
                <w:szCs w:val="21"/>
                <w:highlight w:val="none"/>
                <w:u w:val="single"/>
                <w:lang w:val="en-US" w:eastAsia="zh-CN" w:bidi="ar"/>
              </w:rPr>
              <w:t>齐全；</w:t>
            </w:r>
            <w:r>
              <w:rPr>
                <w:rFonts w:hint="eastAsia" w:ascii="宋体" w:hAnsi="宋体" w:eastAsia="宋体" w:cs="宋体"/>
                <w:i w:val="0"/>
                <w:iCs w:val="0"/>
                <w:color w:val="auto"/>
                <w:kern w:val="0"/>
                <w:sz w:val="21"/>
                <w:szCs w:val="21"/>
                <w:highlight w:val="none"/>
                <w:u w:val="none"/>
                <w:lang w:val="en-US" w:eastAsia="zh-CN" w:bidi="ar"/>
              </w:rPr>
              <w:t>实施与监控措施全面、有效。</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第二个档次（</w:t>
            </w:r>
            <w:r>
              <w:rPr>
                <w:rFonts w:hint="eastAsia" w:ascii="宋体" w:hAnsi="宋体" w:eastAsia="宋体" w:cs="宋体"/>
                <w:i w:val="0"/>
                <w:iCs w:val="0"/>
                <w:color w:val="auto"/>
                <w:kern w:val="0"/>
                <w:sz w:val="21"/>
                <w:szCs w:val="21"/>
                <w:highlight w:val="none"/>
                <w:u w:val="single"/>
                <w:lang w:val="en-US" w:eastAsia="zh-CN" w:bidi="ar"/>
              </w:rPr>
              <w:t>10-12分</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single"/>
                <w:lang w:val="en-US" w:eastAsia="zh-CN" w:bidi="ar"/>
              </w:rPr>
              <w:t>环境保护安全目标符合或优于招标文件要求；管理机构健全，职责分工较明确；管理制度较齐全；实施与监控措施较完整。</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第三个档次（</w:t>
            </w:r>
            <w:r>
              <w:rPr>
                <w:rFonts w:hint="eastAsia" w:ascii="宋体" w:hAnsi="宋体" w:eastAsia="宋体" w:cs="宋体"/>
                <w:i w:val="0"/>
                <w:iCs w:val="0"/>
                <w:color w:val="auto"/>
                <w:kern w:val="0"/>
                <w:sz w:val="21"/>
                <w:szCs w:val="21"/>
                <w:highlight w:val="none"/>
                <w:u w:val="single"/>
                <w:lang w:val="en-US" w:eastAsia="zh-CN" w:bidi="ar"/>
              </w:rPr>
              <w:t>7-9分</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single"/>
                <w:lang w:val="en-US" w:eastAsia="zh-CN" w:bidi="ar"/>
              </w:rPr>
              <w:t>安全目标符合招标文件要求；管理机构基本健全，职责分工基本明确；管理制度基本齐全；实施与监控措施基本完整。</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工程进度计划与保证措施</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第一个档次（</w:t>
            </w:r>
            <w:r>
              <w:rPr>
                <w:rFonts w:hint="eastAsia" w:ascii="宋体" w:hAnsi="宋体" w:eastAsia="宋体" w:cs="宋体"/>
                <w:i w:val="0"/>
                <w:iCs w:val="0"/>
                <w:color w:val="auto"/>
                <w:kern w:val="0"/>
                <w:sz w:val="21"/>
                <w:szCs w:val="21"/>
                <w:highlight w:val="none"/>
                <w:u w:val="single"/>
                <w:lang w:val="en-US" w:eastAsia="zh-CN" w:bidi="ar"/>
              </w:rPr>
              <w:t>8-10分</w:t>
            </w:r>
            <w:r>
              <w:rPr>
                <w:rFonts w:hint="eastAsia" w:ascii="宋体" w:hAnsi="宋体" w:eastAsia="宋体" w:cs="宋体"/>
                <w:i w:val="0"/>
                <w:iCs w:val="0"/>
                <w:color w:val="auto"/>
                <w:kern w:val="0"/>
                <w:sz w:val="21"/>
                <w:szCs w:val="21"/>
                <w:highlight w:val="none"/>
                <w:u w:val="none"/>
                <w:lang w:val="en-US" w:eastAsia="zh-CN" w:bidi="ar"/>
              </w:rPr>
              <w:t>）：总工期及节点工期满足招标文件要求</w:t>
            </w:r>
            <w:r>
              <w:rPr>
                <w:rFonts w:hint="eastAsia" w:ascii="宋体" w:hAnsi="宋体" w:eastAsia="宋体" w:cs="宋体"/>
                <w:i w:val="0"/>
                <w:iCs w:val="0"/>
                <w:color w:val="auto"/>
                <w:kern w:val="0"/>
                <w:sz w:val="21"/>
                <w:szCs w:val="21"/>
                <w:highlight w:val="none"/>
                <w:u w:val="singl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施工进度计划内容全面</w:t>
            </w:r>
            <w:r>
              <w:rPr>
                <w:rFonts w:hint="eastAsia" w:ascii="宋体" w:hAnsi="宋体" w:eastAsia="宋体" w:cs="宋体"/>
                <w:i w:val="0"/>
                <w:iCs w:val="0"/>
                <w:color w:val="auto"/>
                <w:kern w:val="0"/>
                <w:sz w:val="21"/>
                <w:szCs w:val="21"/>
                <w:highlight w:val="none"/>
                <w:u w:val="singl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线路清晰、准确、完整</w:t>
            </w:r>
            <w:r>
              <w:rPr>
                <w:rFonts w:hint="eastAsia" w:ascii="宋体" w:hAnsi="宋体" w:eastAsia="宋体" w:cs="宋体"/>
                <w:i w:val="0"/>
                <w:iCs w:val="0"/>
                <w:color w:val="auto"/>
                <w:kern w:val="0"/>
                <w:sz w:val="21"/>
                <w:szCs w:val="21"/>
                <w:highlight w:val="none"/>
                <w:u w:val="singl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计划编制合理、可行</w:t>
            </w:r>
            <w:r>
              <w:rPr>
                <w:rFonts w:hint="eastAsia" w:ascii="宋体" w:hAnsi="宋体" w:eastAsia="宋体" w:cs="宋体"/>
                <w:i w:val="0"/>
                <w:iCs w:val="0"/>
                <w:color w:val="auto"/>
                <w:kern w:val="0"/>
                <w:sz w:val="21"/>
                <w:szCs w:val="21"/>
                <w:highlight w:val="none"/>
                <w:u w:val="singl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措施有力、合理、可行。</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第二个档次（</w:t>
            </w:r>
            <w:r>
              <w:rPr>
                <w:rFonts w:hint="eastAsia" w:ascii="宋体" w:hAnsi="宋体" w:eastAsia="宋体" w:cs="宋体"/>
                <w:i w:val="0"/>
                <w:iCs w:val="0"/>
                <w:color w:val="auto"/>
                <w:kern w:val="0"/>
                <w:sz w:val="21"/>
                <w:szCs w:val="21"/>
                <w:highlight w:val="none"/>
                <w:u w:val="single"/>
                <w:lang w:val="en-US" w:eastAsia="zh-CN" w:bidi="ar"/>
              </w:rPr>
              <w:t>5-7分</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single"/>
                <w:lang w:val="en-US" w:eastAsia="zh-CN" w:bidi="ar"/>
              </w:rPr>
              <w:t>总工期及节点工期满足招标文件要求；施工进度计划内容较全面，线路较清晰，计划编制较合理；措施可行。</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第三个档次（</w:t>
            </w:r>
            <w:r>
              <w:rPr>
                <w:rFonts w:hint="eastAsia" w:ascii="宋体" w:hAnsi="宋体" w:eastAsia="宋体" w:cs="宋体"/>
                <w:i w:val="0"/>
                <w:iCs w:val="0"/>
                <w:color w:val="auto"/>
                <w:kern w:val="0"/>
                <w:sz w:val="21"/>
                <w:szCs w:val="21"/>
                <w:highlight w:val="none"/>
                <w:u w:val="single"/>
                <w:lang w:val="en-US" w:eastAsia="zh-CN" w:bidi="ar"/>
              </w:rPr>
              <w:t>2-4分</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single"/>
                <w:lang w:val="en-US" w:eastAsia="zh-CN" w:bidi="ar"/>
              </w:rPr>
              <w:t>总工期及节点工期满足招标文件要求；施工进度计划内容不够全面，线路不够清晰，计划编制不够合理；措施基本可行。</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资源配备计划</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第一个档次（</w:t>
            </w:r>
            <w:r>
              <w:rPr>
                <w:rFonts w:hint="eastAsia" w:ascii="宋体" w:hAnsi="宋体" w:eastAsia="宋体" w:cs="宋体"/>
                <w:i w:val="0"/>
                <w:iCs w:val="0"/>
                <w:color w:val="auto"/>
                <w:kern w:val="0"/>
                <w:sz w:val="21"/>
                <w:szCs w:val="21"/>
                <w:highlight w:val="none"/>
                <w:u w:val="single"/>
                <w:lang w:val="en-US" w:eastAsia="zh-CN" w:bidi="ar"/>
              </w:rPr>
              <w:t>13-15分</w:t>
            </w:r>
            <w:r>
              <w:rPr>
                <w:rFonts w:hint="eastAsia" w:ascii="宋体" w:hAnsi="宋体" w:eastAsia="宋体" w:cs="宋体"/>
                <w:i w:val="0"/>
                <w:iCs w:val="0"/>
                <w:color w:val="auto"/>
                <w:kern w:val="0"/>
                <w:sz w:val="21"/>
                <w:szCs w:val="21"/>
                <w:highlight w:val="none"/>
                <w:u w:val="none"/>
                <w:lang w:val="en-US" w:eastAsia="zh-CN" w:bidi="ar"/>
              </w:rPr>
              <w:t>）：劳动力计划、周转材料计划、施工机具计划、主要材料一次性需用量计划等资源投入计划与施工部署、施工方法及进度计划</w:t>
            </w:r>
            <w:r>
              <w:rPr>
                <w:rFonts w:hint="eastAsia" w:ascii="宋体" w:hAnsi="宋体" w:eastAsia="宋体" w:cs="宋体"/>
                <w:i w:val="0"/>
                <w:iCs w:val="0"/>
                <w:color w:val="auto"/>
                <w:kern w:val="0"/>
                <w:sz w:val="21"/>
                <w:szCs w:val="21"/>
                <w:highlight w:val="none"/>
                <w:u w:val="single"/>
                <w:lang w:val="en-US" w:eastAsia="zh-CN" w:bidi="ar"/>
              </w:rPr>
              <w:t>呼应，很好的满足施工需要，</w:t>
            </w:r>
            <w:r>
              <w:rPr>
                <w:rFonts w:hint="eastAsia" w:ascii="宋体" w:hAnsi="宋体" w:eastAsia="宋体" w:cs="宋体"/>
                <w:i w:val="0"/>
                <w:iCs w:val="0"/>
                <w:color w:val="auto"/>
                <w:kern w:val="0"/>
                <w:sz w:val="21"/>
                <w:szCs w:val="21"/>
                <w:highlight w:val="none"/>
                <w:u w:val="none"/>
                <w:lang w:val="en-US" w:eastAsia="zh-CN" w:bidi="ar"/>
              </w:rPr>
              <w:t>调配投入计划合理、准确全面。</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第二个档次（</w:t>
            </w:r>
            <w:r>
              <w:rPr>
                <w:rFonts w:hint="eastAsia" w:ascii="宋体" w:hAnsi="宋体" w:eastAsia="宋体" w:cs="宋体"/>
                <w:i w:val="0"/>
                <w:iCs w:val="0"/>
                <w:color w:val="auto"/>
                <w:kern w:val="0"/>
                <w:sz w:val="21"/>
                <w:szCs w:val="21"/>
                <w:highlight w:val="none"/>
                <w:u w:val="single"/>
                <w:lang w:val="en-US" w:eastAsia="zh-CN" w:bidi="ar"/>
              </w:rPr>
              <w:t>10-12分</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single"/>
                <w:lang w:val="en-US" w:eastAsia="zh-CN" w:bidi="ar"/>
              </w:rPr>
              <w:t>劳动力计划、周转材料计划、施工机具计划、主要材料一次性需用量计划等资源投入计划与施工部署、施工方法及进度计划呼应，较好的满足施工需要，调配投入计划合理。</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第三个档次（</w:t>
            </w:r>
            <w:r>
              <w:rPr>
                <w:rFonts w:hint="eastAsia" w:ascii="宋体" w:hAnsi="宋体" w:eastAsia="宋体" w:cs="宋体"/>
                <w:i w:val="0"/>
                <w:iCs w:val="0"/>
                <w:color w:val="auto"/>
                <w:kern w:val="0"/>
                <w:sz w:val="21"/>
                <w:szCs w:val="21"/>
                <w:highlight w:val="none"/>
                <w:u w:val="single"/>
                <w:lang w:val="en-US" w:eastAsia="zh-CN" w:bidi="ar"/>
              </w:rPr>
              <w:t>7-9分</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single"/>
                <w:lang w:val="en-US" w:eastAsia="zh-CN" w:bidi="ar"/>
              </w:rPr>
              <w:t>劳动力计划、周转材料计划、施工机具计划、主要材料一次性需用量计划等资源投入计划与施工部署、施工方法及进度计划基本满足施工需要，调配投入计划基本合理。</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项目管理机构配置</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第一个档次（</w:t>
            </w:r>
            <w:r>
              <w:rPr>
                <w:rFonts w:hint="eastAsia" w:ascii="宋体" w:hAnsi="宋体" w:eastAsia="宋体" w:cs="宋体"/>
                <w:i w:val="0"/>
                <w:iCs w:val="0"/>
                <w:color w:val="auto"/>
                <w:kern w:val="0"/>
                <w:sz w:val="21"/>
                <w:szCs w:val="21"/>
                <w:highlight w:val="none"/>
                <w:u w:val="single"/>
                <w:lang w:val="en-US" w:eastAsia="zh-CN" w:bidi="ar"/>
              </w:rPr>
              <w:t>13-15分</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single"/>
                <w:lang w:val="en-US" w:eastAsia="zh-CN" w:bidi="ar"/>
              </w:rPr>
              <w:t>投标人拟定的项目经理符合招标文件规定的资格条件；项目经理资质证书和B证年检合格。项目管理人员针对工程实际配置且合理，能满足工程管理需要且有针对性，项目管理人员持证上岗。</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第二个档次（1</w:t>
            </w:r>
            <w:r>
              <w:rPr>
                <w:rFonts w:hint="eastAsia" w:ascii="宋体" w:hAnsi="宋体" w:eastAsia="宋体" w:cs="宋体"/>
                <w:i w:val="0"/>
                <w:iCs w:val="0"/>
                <w:color w:val="auto"/>
                <w:kern w:val="0"/>
                <w:sz w:val="21"/>
                <w:szCs w:val="21"/>
                <w:highlight w:val="none"/>
                <w:u w:val="single"/>
                <w:lang w:val="en-US" w:eastAsia="zh-CN" w:bidi="ar"/>
              </w:rPr>
              <w:t>0</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singl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分）：投标人拟定的项目经理符合招标文件规定的资格条件；项目经理资质证书和B证年检合格。项目管理人员配置合理，能满足工程管理需要，但专业配置针对性一般，项目主要管理人员持证上岗。</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第三个档次（</w:t>
            </w:r>
            <w:r>
              <w:rPr>
                <w:rFonts w:hint="eastAsia" w:ascii="宋体" w:hAnsi="宋体" w:eastAsia="宋体" w:cs="宋体"/>
                <w:i w:val="0"/>
                <w:iCs w:val="0"/>
                <w:color w:val="auto"/>
                <w:kern w:val="0"/>
                <w:sz w:val="21"/>
                <w:szCs w:val="21"/>
                <w:highlight w:val="none"/>
                <w:u w:val="singl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singl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分）：投标人拟定的项目经理符合招标文件规定的资格条件；项目经理资质证书和B证年检合格。项目管理人员</w:t>
            </w:r>
            <w:r>
              <w:rPr>
                <w:rFonts w:hint="eastAsia" w:ascii="宋体" w:hAnsi="宋体" w:eastAsia="宋体" w:cs="宋体"/>
                <w:i w:val="0"/>
                <w:iCs w:val="0"/>
                <w:color w:val="auto"/>
                <w:kern w:val="0"/>
                <w:sz w:val="21"/>
                <w:szCs w:val="21"/>
                <w:highlight w:val="none"/>
                <w:u w:val="single"/>
                <w:lang w:val="en-US" w:eastAsia="zh-CN" w:bidi="ar"/>
              </w:rPr>
              <w:t>配置</w:t>
            </w:r>
            <w:r>
              <w:rPr>
                <w:rFonts w:hint="eastAsia" w:ascii="宋体" w:hAnsi="宋体" w:eastAsia="宋体" w:cs="宋体"/>
                <w:i w:val="0"/>
                <w:iCs w:val="0"/>
                <w:color w:val="auto"/>
                <w:kern w:val="0"/>
                <w:sz w:val="21"/>
                <w:szCs w:val="21"/>
                <w:highlight w:val="none"/>
                <w:u w:val="none"/>
                <w:lang w:val="en-US" w:eastAsia="zh-CN" w:bidi="ar"/>
              </w:rPr>
              <w:t>基本满足工程管理需要，专业配置缺乏针对性，项目主要管理人员持证上岗。</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6" w:hRule="atLeast"/>
        </w:trPr>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商务部分（100分）</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工程业绩及其它</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single"/>
              </w:rPr>
            </w:pPr>
            <w:r>
              <w:rPr>
                <w:rFonts w:hint="eastAsia" w:ascii="宋体" w:hAnsi="宋体" w:eastAsia="宋体" w:cs="宋体"/>
                <w:b/>
                <w:bCs/>
                <w:i w:val="0"/>
                <w:iCs w:val="0"/>
                <w:color w:val="auto"/>
                <w:kern w:val="0"/>
                <w:sz w:val="21"/>
                <w:szCs w:val="21"/>
                <w:highlight w:val="none"/>
                <w:u w:val="none"/>
                <w:lang w:val="en-US" w:eastAsia="zh-CN" w:bidi="ar"/>
              </w:rPr>
              <w:t>工程业绩：</w:t>
            </w:r>
            <w:r>
              <w:rPr>
                <w:rFonts w:hint="eastAsia" w:ascii="宋体" w:hAnsi="宋体" w:eastAsia="宋体" w:cs="宋体"/>
                <w:i w:val="0"/>
                <w:iCs w:val="0"/>
                <w:color w:val="auto"/>
                <w:kern w:val="0"/>
                <w:sz w:val="21"/>
                <w:szCs w:val="21"/>
                <w:highlight w:val="none"/>
                <w:u w:val="single"/>
                <w:lang w:val="en-US" w:eastAsia="zh-CN" w:bidi="ar"/>
              </w:rPr>
              <w:t>工程业绩满足招标文件要求，投标人近 3 年内承担过类似项目业绩超过   1 个（注意：此数量及要求应与招标文件其余部分内容保持一致）的每增加一个得1分，此项满分为5分。</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kern w:val="0"/>
                <w:sz w:val="21"/>
                <w:szCs w:val="21"/>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9"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优质工程：</w:t>
            </w:r>
            <w:r>
              <w:rPr>
                <w:rFonts w:hint="eastAsia" w:ascii="宋体" w:hAnsi="宋体" w:eastAsia="宋体" w:cs="宋体"/>
                <w:i w:val="0"/>
                <w:iCs w:val="0"/>
                <w:color w:val="auto"/>
                <w:kern w:val="0"/>
                <w:sz w:val="21"/>
                <w:szCs w:val="21"/>
                <w:highlight w:val="none"/>
                <w:u w:val="none"/>
                <w:lang w:val="en-US" w:eastAsia="zh-CN" w:bidi="ar"/>
              </w:rPr>
              <w:t>承接项目获得优质工程（</w:t>
            </w:r>
            <w:r>
              <w:rPr>
                <w:rFonts w:hint="eastAsia" w:ascii="宋体" w:hAnsi="宋体" w:eastAsia="宋体" w:cs="宋体"/>
                <w:i w:val="0"/>
                <w:iCs w:val="0"/>
                <w:color w:val="auto"/>
                <w:kern w:val="0"/>
                <w:sz w:val="21"/>
                <w:szCs w:val="21"/>
                <w:highlight w:val="none"/>
                <w:u w:val="single"/>
                <w:lang w:val="en-US" w:eastAsia="zh-CN" w:bidi="ar"/>
              </w:rPr>
              <w:t xml:space="preserve">   省优或国优    </w:t>
            </w:r>
            <w:r>
              <w:rPr>
                <w:rFonts w:hint="eastAsia" w:ascii="宋体" w:hAnsi="宋体" w:eastAsia="宋体" w:cs="宋体"/>
                <w:i w:val="0"/>
                <w:iCs w:val="0"/>
                <w:color w:val="auto"/>
                <w:kern w:val="0"/>
                <w:sz w:val="21"/>
                <w:szCs w:val="21"/>
                <w:highlight w:val="none"/>
                <w:u w:val="none"/>
                <w:lang w:val="en-US" w:eastAsia="zh-CN" w:bidi="ar"/>
              </w:rPr>
              <w:t>）的等级和个数等满足招标文件要求，投标人近</w:t>
            </w:r>
            <w:r>
              <w:rPr>
                <w:rFonts w:hint="eastAsia" w:ascii="宋体" w:hAnsi="宋体" w:eastAsia="宋体" w:cs="宋体"/>
                <w:i w:val="0"/>
                <w:iCs w:val="0"/>
                <w:color w:val="auto"/>
                <w:kern w:val="0"/>
                <w:sz w:val="21"/>
                <w:szCs w:val="21"/>
                <w:highlight w:val="none"/>
                <w:u w:val="single"/>
                <w:lang w:val="en-US" w:eastAsia="zh-CN" w:bidi="ar"/>
              </w:rPr>
              <w:t xml:space="preserve"> 3 </w:t>
            </w:r>
            <w:r>
              <w:rPr>
                <w:rFonts w:hint="eastAsia" w:ascii="宋体" w:hAnsi="宋体" w:eastAsia="宋体" w:cs="宋体"/>
                <w:i w:val="0"/>
                <w:iCs w:val="0"/>
                <w:color w:val="auto"/>
                <w:kern w:val="0"/>
                <w:sz w:val="21"/>
                <w:szCs w:val="21"/>
                <w:highlight w:val="none"/>
                <w:u w:val="none"/>
                <w:lang w:val="en-US" w:eastAsia="zh-CN" w:bidi="ar"/>
              </w:rPr>
              <w:t>年内承担项目获得优质工程（</w:t>
            </w:r>
            <w:r>
              <w:rPr>
                <w:rFonts w:hint="eastAsia" w:ascii="宋体" w:hAnsi="宋体" w:eastAsia="宋体" w:cs="宋体"/>
                <w:i w:val="0"/>
                <w:iCs w:val="0"/>
                <w:color w:val="auto"/>
                <w:kern w:val="0"/>
                <w:sz w:val="21"/>
                <w:szCs w:val="21"/>
                <w:highlight w:val="none"/>
                <w:u w:val="single"/>
                <w:lang w:val="en-US" w:eastAsia="zh-CN" w:bidi="ar"/>
              </w:rPr>
              <w:t xml:space="preserve">   省优、国优  </w:t>
            </w:r>
            <w:r>
              <w:rPr>
                <w:rFonts w:hint="eastAsia" w:ascii="宋体" w:hAnsi="宋体" w:eastAsia="宋体" w:cs="宋体"/>
                <w:i w:val="0"/>
                <w:iCs w:val="0"/>
                <w:color w:val="auto"/>
                <w:kern w:val="0"/>
                <w:sz w:val="21"/>
                <w:szCs w:val="21"/>
                <w:highlight w:val="none"/>
                <w:u w:val="none"/>
                <w:lang w:val="en-US" w:eastAsia="zh-CN" w:bidi="ar"/>
              </w:rPr>
              <w:t>）超过</w:t>
            </w:r>
            <w:r>
              <w:rPr>
                <w:rFonts w:hint="eastAsia" w:ascii="宋体" w:hAnsi="宋体" w:eastAsia="宋体" w:cs="宋体"/>
                <w:i w:val="0"/>
                <w:iCs w:val="0"/>
                <w:color w:val="auto"/>
                <w:kern w:val="0"/>
                <w:sz w:val="21"/>
                <w:szCs w:val="21"/>
                <w:highlight w:val="none"/>
                <w:u w:val="single"/>
                <w:lang w:val="en-US" w:eastAsia="zh-CN" w:bidi="ar"/>
              </w:rPr>
              <w:t xml:space="preserve">  1  </w:t>
            </w:r>
            <w:r>
              <w:rPr>
                <w:rFonts w:hint="eastAsia" w:ascii="宋体" w:hAnsi="宋体" w:eastAsia="宋体" w:cs="宋体"/>
                <w:i w:val="0"/>
                <w:iCs w:val="0"/>
                <w:color w:val="auto"/>
                <w:kern w:val="0"/>
                <w:sz w:val="21"/>
                <w:szCs w:val="21"/>
                <w:highlight w:val="none"/>
                <w:u w:val="none"/>
                <w:lang w:val="en-US" w:eastAsia="zh-CN" w:bidi="ar"/>
              </w:rPr>
              <w:t>个（注意：此数量及要求应与招标文件其余部分内容保持一致）的每增加一个得1分，此项满分为5分。</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投标报价</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投标报价评审得分满分分值为</w:t>
            </w:r>
            <w:r>
              <w:rPr>
                <w:rFonts w:hint="eastAsia" w:ascii="宋体" w:hAnsi="宋体" w:eastAsia="宋体" w:cs="宋体"/>
                <w:i w:val="0"/>
                <w:iCs w:val="0"/>
                <w:color w:val="auto"/>
                <w:kern w:val="0"/>
                <w:sz w:val="21"/>
                <w:szCs w:val="21"/>
                <w:highlight w:val="none"/>
                <w:u w:val="single"/>
                <w:lang w:val="en-US" w:eastAsia="zh-CN" w:bidi="ar"/>
              </w:rPr>
              <w:t>90</w:t>
            </w:r>
            <w:r>
              <w:rPr>
                <w:rFonts w:hint="eastAsia" w:ascii="宋体" w:hAnsi="宋体" w:eastAsia="宋体" w:cs="宋体"/>
                <w:i w:val="0"/>
                <w:iCs w:val="0"/>
                <w:color w:val="auto"/>
                <w:kern w:val="0"/>
                <w:sz w:val="21"/>
                <w:szCs w:val="21"/>
                <w:highlight w:val="none"/>
                <w:u w:val="none"/>
                <w:lang w:val="en-US" w:eastAsia="zh-CN" w:bidi="ar"/>
              </w:rPr>
              <w:t>分，等于评标基准价的投标报价得满分，每下浮1%扣</w:t>
            </w:r>
            <w:r>
              <w:rPr>
                <w:rFonts w:hint="eastAsia" w:ascii="宋体" w:hAnsi="宋体" w:eastAsia="宋体" w:cs="宋体"/>
                <w:i w:val="0"/>
                <w:iCs w:val="0"/>
                <w:color w:val="auto"/>
                <w:kern w:val="0"/>
                <w:sz w:val="21"/>
                <w:szCs w:val="21"/>
                <w:highlight w:val="none"/>
                <w:u w:val="single"/>
                <w:lang w:val="en-US" w:eastAsia="zh-CN" w:bidi="ar"/>
              </w:rPr>
              <w:t xml:space="preserve"> 1 </w:t>
            </w:r>
            <w:r>
              <w:rPr>
                <w:rFonts w:hint="eastAsia" w:ascii="宋体" w:hAnsi="宋体" w:eastAsia="宋体" w:cs="宋体"/>
                <w:i w:val="0"/>
                <w:iCs w:val="0"/>
                <w:color w:val="auto"/>
                <w:kern w:val="0"/>
                <w:sz w:val="21"/>
                <w:szCs w:val="21"/>
                <w:highlight w:val="none"/>
                <w:u w:val="none"/>
                <w:lang w:val="en-US" w:eastAsia="zh-CN" w:bidi="ar"/>
              </w:rPr>
              <w:t>分，每上浮1%扣</w:t>
            </w:r>
            <w:r>
              <w:rPr>
                <w:rFonts w:hint="eastAsia" w:ascii="宋体" w:hAnsi="宋体" w:eastAsia="宋体" w:cs="宋体"/>
                <w:i w:val="0"/>
                <w:iCs w:val="0"/>
                <w:color w:val="auto"/>
                <w:kern w:val="0"/>
                <w:sz w:val="21"/>
                <w:szCs w:val="21"/>
                <w:highlight w:val="none"/>
                <w:u w:val="single"/>
                <w:lang w:val="en-US" w:eastAsia="zh-CN" w:bidi="ar"/>
              </w:rPr>
              <w:t xml:space="preserve"> 2 </w:t>
            </w:r>
            <w:r>
              <w:rPr>
                <w:rFonts w:hint="eastAsia" w:ascii="宋体" w:hAnsi="宋体" w:eastAsia="宋体" w:cs="宋体"/>
                <w:i w:val="0"/>
                <w:iCs w:val="0"/>
                <w:color w:val="auto"/>
                <w:kern w:val="0"/>
                <w:sz w:val="21"/>
                <w:szCs w:val="21"/>
                <w:highlight w:val="none"/>
                <w:u w:val="none"/>
                <w:lang w:val="en-US" w:eastAsia="zh-CN" w:bidi="ar"/>
              </w:rPr>
              <w:t>分，分值扣完为止（扣减分值的中间值用插入法，小数点后保留两位）。</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single"/>
              </w:rPr>
            </w:pPr>
          </w:p>
        </w:tc>
      </w:tr>
    </w:tbl>
    <w:p>
      <w:pPr>
        <w:pStyle w:val="23"/>
        <w:rPr>
          <w:rFonts w:hint="eastAsia" w:ascii="宋体" w:hAnsi="宋体"/>
          <w:b/>
          <w:bCs/>
          <w:color w:val="auto"/>
          <w:highlight w:val="none"/>
          <w:lang w:val="en-US" w:eastAsia="zh-CN"/>
        </w:rPr>
        <w:sectPr>
          <w:pgSz w:w="11906" w:h="16838"/>
          <w:pgMar w:top="1134" w:right="1797" w:bottom="1134" w:left="179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360" w:lineRule="auto"/>
        <w:textAlignment w:val="auto"/>
        <w:outlineLvl w:val="3"/>
        <w:rPr>
          <w:rFonts w:hint="eastAsia" w:ascii="宋体" w:hAnsi="宋体"/>
          <w:color w:val="auto"/>
          <w:highlight w:val="none"/>
        </w:rPr>
      </w:pPr>
      <w:r>
        <w:rPr>
          <w:rFonts w:hint="eastAsia" w:ascii="宋体" w:hAnsi="宋体"/>
          <w:b/>
          <w:color w:val="auto"/>
          <w:highlight w:val="none"/>
        </w:rPr>
        <w:t>3.评标程序</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3.1 初步评审</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3.1.1 评标委员会依据本章第2.1.1项、第2.1.2项、第2.1.3项、第2.1.4项顺序及规定的评审标准对投标文件进行初步评审。有一项不符合评审标准的，作否决投标处理。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3.1.2投标报价有算术错误的，评标委员会按以下原则对投标报价进行修正，修正的价格经投标人书面确认后具有约束力。投标人不接受修正价格的，其投标作否决投标处理。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（1）投标文件中的大写金额与小写金额不一致的，以大写金额为准；</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highlight w:val="none"/>
        </w:rPr>
        <w:t>（2）总价金额与依据单价计算出的结果不一致的，以单价金额为准修正总价，但单价金额小数点有明显错误的除外。</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3.2 详细评审</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3.2.1 </w:t>
      </w:r>
      <w:r>
        <w:rPr>
          <w:rFonts w:hint="eastAsia" w:ascii="宋体" w:hAnsi="宋体" w:eastAsia="宋体" w:cs="宋体"/>
          <w:color w:val="auto"/>
          <w:kern w:val="0"/>
          <w:sz w:val="21"/>
          <w:szCs w:val="21"/>
          <w:highlight w:val="none"/>
        </w:rPr>
        <w:t>经初步评审合格的有效投标人，</w:t>
      </w:r>
      <w:r>
        <w:rPr>
          <w:rFonts w:hint="eastAsia" w:ascii="宋体" w:hAnsi="宋体" w:eastAsia="宋体" w:cs="宋体"/>
          <w:color w:val="auto"/>
          <w:highlight w:val="none"/>
        </w:rPr>
        <w:t>评标委员会按本章第2.2款规定的</w:t>
      </w:r>
      <w:r>
        <w:rPr>
          <w:rFonts w:hint="eastAsia" w:ascii="宋体" w:hAnsi="宋体" w:eastAsia="宋体" w:cs="宋体"/>
          <w:color w:val="auto"/>
          <w:highlight w:val="none"/>
          <w:lang w:val="en-US" w:eastAsia="zh-CN"/>
        </w:rPr>
        <w:t>评分标准</w:t>
      </w:r>
      <w:r>
        <w:rPr>
          <w:rFonts w:hint="eastAsia" w:ascii="宋体" w:hAnsi="宋体" w:eastAsia="宋体" w:cs="宋体"/>
          <w:color w:val="auto"/>
          <w:highlight w:val="none"/>
        </w:rPr>
        <w:t>和分值进行打分，并计算出最终得分</w:t>
      </w:r>
      <w:r>
        <w:rPr>
          <w:rFonts w:hint="eastAsia" w:ascii="宋体" w:hAnsi="宋体" w:eastAsia="宋体" w:cs="宋体"/>
          <w:color w:val="auto"/>
          <w:highlight w:val="none"/>
          <w:lang w:eastAsia="zh-CN"/>
        </w:rPr>
        <w:t>：</w:t>
      </w:r>
    </w:p>
    <w:p>
      <w:pPr>
        <w:widowControl/>
        <w:spacing w:line="360" w:lineRule="auto"/>
        <w:ind w:firstLine="422" w:firstLineChars="200"/>
        <w:outlineLvl w:val="1"/>
        <w:rPr>
          <w:rFonts w:hint="eastAsia" w:ascii="宋体" w:hAnsi="宋体" w:eastAsia="宋体" w:cs="宋体"/>
          <w:b w:val="0"/>
          <w:bCs w:val="0"/>
          <w:color w:val="auto"/>
          <w:highlight w:val="none"/>
          <w:lang w:val="en-US" w:eastAsia="zh-CN"/>
        </w:rPr>
      </w:pPr>
      <w:r>
        <w:rPr>
          <w:rFonts w:hint="eastAsia" w:ascii="宋体" w:hAnsi="宋体" w:cs="宋体"/>
          <w:b/>
          <w:bCs/>
          <w:color w:val="auto"/>
          <w:kern w:val="0"/>
          <w:sz w:val="21"/>
          <w:szCs w:val="21"/>
          <w:highlight w:val="none"/>
          <w:lang w:val="en-US" w:eastAsia="zh-CN"/>
        </w:rPr>
        <w:t>评标办法一：</w:t>
      </w:r>
      <w:r>
        <w:rPr>
          <w:rFonts w:hint="eastAsia" w:ascii="宋体" w:hAnsi="宋体" w:eastAsia="宋体" w:cs="宋体"/>
          <w:b/>
          <w:bCs/>
          <w:color w:val="auto"/>
          <w:kern w:val="0"/>
          <w:sz w:val="21"/>
          <w:szCs w:val="21"/>
          <w:highlight w:val="none"/>
          <w:lang w:val="en-US" w:eastAsia="zh-CN"/>
        </w:rPr>
        <w:t>经评审的合理低价法</w:t>
      </w:r>
    </w:p>
    <w:p>
      <w:pPr>
        <w:keepNext w:val="0"/>
        <w:keepLines w:val="0"/>
        <w:pageBreakBefore w:val="0"/>
        <w:widowControl/>
        <w:numPr>
          <w:ilvl w:val="0"/>
          <w:numId w:val="7"/>
        </w:numPr>
        <w:kinsoku/>
        <w:wordWrap/>
        <w:overflowPunct/>
        <w:topLinePunct w:val="0"/>
        <w:autoSpaceDE/>
        <w:autoSpaceDN/>
        <w:bidi w:val="0"/>
        <w:spacing w:line="360" w:lineRule="auto"/>
        <w:ind w:left="600"/>
        <w:jc w:val="left"/>
        <w:textAlignment w:val="auto"/>
        <w:outlineLvl w:val="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技术部分评审。</w:t>
      </w:r>
    </w:p>
    <w:p>
      <w:pPr>
        <w:keepNext w:val="0"/>
        <w:keepLines w:val="0"/>
        <w:pageBreakBefore w:val="0"/>
        <w:widowControl/>
        <w:kinsoku/>
        <w:wordWrap/>
        <w:overflowPunct/>
        <w:topLinePunct w:val="0"/>
        <w:autoSpaceDE/>
        <w:autoSpaceDN/>
        <w:bidi w:val="0"/>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技术部分采用通过性评审，技术部分合格分值为</w:t>
      </w:r>
      <w:r>
        <w:rPr>
          <w:rFonts w:hint="eastAsia" w:ascii="宋体" w:hAnsi="宋体" w:eastAsia="宋体" w:cs="宋体"/>
          <w:color w:val="auto"/>
          <w:kern w:val="0"/>
          <w:sz w:val="21"/>
          <w:szCs w:val="21"/>
          <w:highlight w:val="none"/>
          <w:u w:val="single"/>
        </w:rPr>
        <w:t>70</w:t>
      </w:r>
      <w:r>
        <w:rPr>
          <w:rFonts w:hint="eastAsia" w:ascii="宋体" w:hAnsi="宋体" w:eastAsia="宋体" w:cs="宋体"/>
          <w:color w:val="auto"/>
          <w:kern w:val="0"/>
          <w:sz w:val="21"/>
          <w:szCs w:val="21"/>
          <w:highlight w:val="none"/>
        </w:rPr>
        <w:t>分（合格分值需≥</w:t>
      </w: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0分，低于</w:t>
      </w:r>
      <w:r>
        <w:rPr>
          <w:rFonts w:hint="eastAsia" w:ascii="宋体" w:hAnsi="宋体" w:eastAsia="宋体" w:cs="宋体"/>
          <w:color w:val="auto"/>
          <w:kern w:val="0"/>
          <w:sz w:val="21"/>
          <w:szCs w:val="21"/>
          <w:highlight w:val="none"/>
          <w:u w:val="single"/>
        </w:rPr>
        <w:t>70</w:t>
      </w:r>
      <w:r>
        <w:rPr>
          <w:rFonts w:hint="eastAsia" w:ascii="宋体" w:hAnsi="宋体" w:eastAsia="宋体" w:cs="宋体"/>
          <w:color w:val="auto"/>
          <w:kern w:val="0"/>
          <w:sz w:val="21"/>
          <w:szCs w:val="21"/>
          <w:highlight w:val="none"/>
        </w:rPr>
        <w:t>分的</w:t>
      </w:r>
      <w:r>
        <w:rPr>
          <w:rFonts w:hint="eastAsia" w:ascii="宋体" w:hAnsi="宋体" w:cs="宋体"/>
          <w:color w:val="auto"/>
          <w:kern w:val="0"/>
          <w:sz w:val="21"/>
          <w:szCs w:val="21"/>
          <w:highlight w:val="none"/>
          <w:lang w:val="en-US" w:eastAsia="zh-CN"/>
        </w:rPr>
        <w:t>投标人</w:t>
      </w:r>
      <w:r>
        <w:rPr>
          <w:rFonts w:hint="eastAsia" w:ascii="宋体" w:hAnsi="宋体" w:eastAsia="宋体" w:cs="宋体"/>
          <w:color w:val="auto"/>
          <w:kern w:val="0"/>
          <w:sz w:val="21"/>
          <w:szCs w:val="21"/>
          <w:highlight w:val="none"/>
        </w:rPr>
        <w:t>不得参与汇总评分的计算。</w:t>
      </w:r>
    </w:p>
    <w:p>
      <w:pPr>
        <w:keepNext w:val="0"/>
        <w:keepLines w:val="0"/>
        <w:pageBreakBefore w:val="0"/>
        <w:widowControl/>
        <w:kinsoku/>
        <w:wordWrap/>
        <w:overflowPunct/>
        <w:topLinePunct w:val="0"/>
        <w:autoSpaceDE/>
        <w:autoSpaceDN/>
        <w:bidi w:val="0"/>
        <w:spacing w:line="360" w:lineRule="auto"/>
        <w:ind w:left="600"/>
        <w:jc w:val="left"/>
        <w:textAlignment w:val="auto"/>
        <w:outlineLvl w:val="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w:t>
      </w: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lang w:val="en-US" w:eastAsia="zh-CN"/>
        </w:rPr>
        <w:t>）商务部分评审。</w:t>
      </w:r>
    </w:p>
    <w:p>
      <w:pPr>
        <w:keepNext w:val="0"/>
        <w:keepLines w:val="0"/>
        <w:pageBreakBefore w:val="0"/>
        <w:widowControl/>
        <w:kinsoku/>
        <w:wordWrap/>
        <w:overflowPunct/>
        <w:topLinePunct w:val="0"/>
        <w:autoSpaceDE/>
        <w:autoSpaceDN/>
        <w:bidi w:val="0"/>
        <w:spacing w:line="360" w:lineRule="auto"/>
        <w:ind w:firstLine="630" w:firstLineChars="300"/>
        <w:jc w:val="left"/>
        <w:textAlignment w:val="auto"/>
        <w:outlineLvl w:val="9"/>
        <w:rPr>
          <w:rFonts w:hint="default"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包括工程业绩及其他、投标报价两部分。</w:t>
      </w:r>
    </w:p>
    <w:p>
      <w:pPr>
        <w:keepNext w:val="0"/>
        <w:keepLines w:val="0"/>
        <w:pageBreakBefore w:val="0"/>
        <w:widowControl/>
        <w:kinsoku/>
        <w:wordWrap/>
        <w:overflowPunct/>
        <w:topLinePunct w:val="0"/>
        <w:autoSpaceDE/>
        <w:autoSpaceDN/>
        <w:bidi w:val="0"/>
        <w:spacing w:line="360" w:lineRule="auto"/>
        <w:ind w:left="600"/>
        <w:jc w:val="left"/>
        <w:textAlignment w:val="auto"/>
        <w:outlineLvl w:val="9"/>
        <w:rPr>
          <w:rFonts w:hint="default"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w:t>
      </w:r>
      <w:r>
        <w:rPr>
          <w:rFonts w:hint="eastAsia" w:ascii="宋体" w:hAnsi="宋体" w:cs="宋体"/>
          <w:b w:val="0"/>
          <w:bCs w:val="0"/>
          <w:color w:val="auto"/>
          <w:highlight w:val="none"/>
          <w:lang w:val="en-US" w:eastAsia="zh-CN"/>
        </w:rPr>
        <w:t>3</w:t>
      </w:r>
      <w:r>
        <w:rPr>
          <w:rFonts w:hint="eastAsia" w:ascii="宋体" w:hAnsi="宋体" w:eastAsia="宋体" w:cs="宋体"/>
          <w:b w:val="0"/>
          <w:bCs w:val="0"/>
          <w:color w:val="auto"/>
          <w:highlight w:val="none"/>
          <w:lang w:val="en-US" w:eastAsia="zh-CN"/>
        </w:rPr>
        <w:t>）汇总评分结果。</w:t>
      </w:r>
    </w:p>
    <w:p>
      <w:pPr>
        <w:keepNext w:val="0"/>
        <w:keepLines w:val="0"/>
        <w:pageBreakBefore w:val="0"/>
        <w:widowControl/>
        <w:kinsoku/>
        <w:wordWrap/>
        <w:overflowPunct/>
        <w:topLinePunct w:val="0"/>
        <w:autoSpaceDE/>
        <w:autoSpaceDN/>
        <w:bidi w:val="0"/>
        <w:adjustRightInd/>
        <w:snapToGrid/>
        <w:spacing w:line="360" w:lineRule="auto"/>
        <w:ind w:firstLine="6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C=</w:t>
      </w:r>
      <w:r>
        <w:rPr>
          <w:rFonts w:hint="eastAsia" w:ascii="宋体" w:hAnsi="宋体" w:cs="宋体"/>
          <w:color w:val="auto"/>
          <w:kern w:val="0"/>
          <w:sz w:val="21"/>
          <w:szCs w:val="21"/>
          <w:highlight w:val="none"/>
          <w:lang w:val="en-US" w:eastAsia="zh-CN"/>
        </w:rPr>
        <w:t>S</w:t>
      </w:r>
    </w:p>
    <w:p>
      <w:pPr>
        <w:keepNext w:val="0"/>
        <w:keepLines w:val="0"/>
        <w:pageBreakBefore w:val="0"/>
        <w:widowControl/>
        <w:kinsoku/>
        <w:wordWrap/>
        <w:overflowPunct/>
        <w:topLinePunct w:val="0"/>
        <w:autoSpaceDE/>
        <w:autoSpaceDN/>
        <w:bidi w:val="0"/>
        <w:adjustRightInd/>
        <w:snapToGrid/>
        <w:spacing w:line="360" w:lineRule="auto"/>
        <w:ind w:firstLine="6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其中： </w:t>
      </w:r>
    </w:p>
    <w:p>
      <w:pPr>
        <w:keepNext w:val="0"/>
        <w:keepLines w:val="0"/>
        <w:pageBreakBefore w:val="0"/>
        <w:widowControl/>
        <w:kinsoku/>
        <w:wordWrap/>
        <w:overflowPunct/>
        <w:topLinePunct w:val="0"/>
        <w:autoSpaceDE/>
        <w:autoSpaceDN/>
        <w:bidi w:val="0"/>
        <w:adjustRightInd/>
        <w:snapToGrid/>
        <w:spacing w:line="360" w:lineRule="auto"/>
        <w:ind w:firstLine="6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C：指投标人的最后得分； </w:t>
      </w:r>
    </w:p>
    <w:p>
      <w:pPr>
        <w:keepNext w:val="0"/>
        <w:keepLines w:val="0"/>
        <w:pageBreakBefore w:val="0"/>
        <w:widowControl/>
        <w:kinsoku/>
        <w:wordWrap/>
        <w:overflowPunct/>
        <w:topLinePunct w:val="0"/>
        <w:autoSpaceDE/>
        <w:autoSpaceDN/>
        <w:bidi w:val="0"/>
        <w:adjustRightInd/>
        <w:snapToGrid/>
        <w:spacing w:line="360" w:lineRule="auto"/>
        <w:ind w:firstLine="600"/>
        <w:jc w:val="left"/>
        <w:textAlignment w:val="auto"/>
        <w:outlineLvl w:val="9"/>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S</w:t>
      </w:r>
      <w:r>
        <w:rPr>
          <w:rFonts w:hint="eastAsia" w:ascii="宋体" w:hAnsi="宋体" w:eastAsia="宋体" w:cs="宋体"/>
          <w:color w:val="auto"/>
          <w:kern w:val="0"/>
          <w:sz w:val="21"/>
          <w:szCs w:val="21"/>
          <w:highlight w:val="none"/>
        </w:rPr>
        <w:t>：指投标人的</w:t>
      </w:r>
      <w:r>
        <w:rPr>
          <w:rFonts w:hint="eastAsia" w:ascii="宋体" w:hAnsi="宋体" w:cs="宋体"/>
          <w:color w:val="auto"/>
          <w:kern w:val="0"/>
          <w:sz w:val="21"/>
          <w:szCs w:val="21"/>
          <w:highlight w:val="none"/>
          <w:lang w:val="en-US" w:eastAsia="zh-CN"/>
        </w:rPr>
        <w:t>商务部分</w:t>
      </w:r>
      <w:r>
        <w:rPr>
          <w:rFonts w:hint="eastAsia" w:ascii="宋体" w:hAnsi="宋体" w:eastAsia="宋体" w:cs="宋体"/>
          <w:color w:val="auto"/>
          <w:kern w:val="0"/>
          <w:sz w:val="21"/>
          <w:szCs w:val="21"/>
          <w:highlight w:val="none"/>
        </w:rPr>
        <w:t>得分。</w:t>
      </w:r>
    </w:p>
    <w:p>
      <w:pPr>
        <w:keepNext w:val="0"/>
        <w:keepLines w:val="0"/>
        <w:pageBreakBefore w:val="0"/>
        <w:widowControl/>
        <w:kinsoku/>
        <w:wordWrap/>
        <w:overflowPunct/>
        <w:topLinePunct w:val="0"/>
        <w:autoSpaceDE/>
        <w:autoSpaceDN/>
        <w:bidi w:val="0"/>
        <w:spacing w:line="360" w:lineRule="auto"/>
        <w:ind w:firstLine="420" w:firstLineChars="200"/>
        <w:jc w:val="left"/>
        <w:textAlignment w:val="auto"/>
        <w:outlineLvl w:val="9"/>
        <w:rPr>
          <w:rFonts w:hint="eastAsia" w:ascii="宋体" w:hAnsi="宋体" w:eastAsia="宋体" w:cs="宋体"/>
          <w:color w:val="auto"/>
          <w:highlight w:val="none"/>
          <w:lang w:val="en-US" w:eastAsia="zh-CN"/>
        </w:rPr>
      </w:pPr>
      <w:r>
        <w:rPr>
          <w:rFonts w:hint="eastAsia" w:ascii="宋体" w:hAnsi="宋体" w:cs="宋体"/>
          <w:b w:val="0"/>
          <w:bCs w:val="0"/>
          <w:color w:val="auto"/>
          <w:highlight w:val="none"/>
          <w:lang w:val="en-US" w:eastAsia="zh-CN"/>
        </w:rPr>
        <w:t>商务部分中投标报价的</w:t>
      </w:r>
      <w:r>
        <w:rPr>
          <w:rFonts w:hint="eastAsia" w:ascii="宋体" w:hAnsi="宋体" w:eastAsia="宋体" w:cs="宋体"/>
          <w:b w:val="0"/>
          <w:bCs w:val="0"/>
          <w:color w:val="auto"/>
          <w:kern w:val="0"/>
          <w:sz w:val="21"/>
          <w:szCs w:val="21"/>
          <w:highlight w:val="none"/>
        </w:rPr>
        <w:t>评审步骤和方式</w:t>
      </w:r>
      <w:r>
        <w:rPr>
          <w:rFonts w:hint="eastAsia" w:ascii="宋体" w:hAnsi="宋体" w:cs="宋体"/>
          <w:b w:val="0"/>
          <w:bCs w:val="0"/>
          <w:color w:val="auto"/>
          <w:kern w:val="0"/>
          <w:sz w:val="21"/>
          <w:szCs w:val="21"/>
          <w:highlight w:val="none"/>
          <w:lang w:eastAsia="zh-CN"/>
        </w:rPr>
        <w:t>：</w:t>
      </w:r>
      <w:r>
        <w:rPr>
          <w:rFonts w:hint="eastAsia" w:ascii="宋体" w:hAnsi="宋体" w:cs="宋体"/>
          <w:color w:val="auto"/>
          <w:highlight w:val="none"/>
          <w:lang w:val="en-US" w:eastAsia="zh-CN"/>
        </w:rPr>
        <w:t>投标报价</w:t>
      </w:r>
      <w:r>
        <w:rPr>
          <w:rFonts w:hint="eastAsia" w:ascii="宋体" w:hAnsi="宋体" w:eastAsia="宋体" w:cs="宋体"/>
          <w:color w:val="auto"/>
          <w:highlight w:val="none"/>
          <w:lang w:val="en-US" w:eastAsia="zh-CN"/>
        </w:rPr>
        <w:t>评审得分满分值为</w:t>
      </w:r>
      <w:r>
        <w:rPr>
          <w:rFonts w:hint="eastAsia" w:ascii="宋体" w:hAnsi="宋体" w:cs="宋体"/>
          <w:color w:val="auto"/>
          <w:highlight w:val="none"/>
          <w:u w:val="single"/>
          <w:lang w:val="en-US" w:eastAsia="zh-CN"/>
        </w:rPr>
        <w:t>9</w:t>
      </w:r>
      <w:r>
        <w:rPr>
          <w:rFonts w:hint="eastAsia" w:ascii="宋体" w:hAnsi="宋体" w:eastAsia="宋体" w:cs="宋体"/>
          <w:color w:val="auto"/>
          <w:highlight w:val="none"/>
          <w:u w:val="single"/>
          <w:lang w:val="en-US" w:eastAsia="zh-CN"/>
        </w:rPr>
        <w:t>0</w:t>
      </w:r>
      <w:r>
        <w:rPr>
          <w:rFonts w:hint="eastAsia" w:ascii="宋体" w:hAnsi="宋体" w:eastAsia="宋体" w:cs="宋体"/>
          <w:color w:val="auto"/>
          <w:highlight w:val="none"/>
          <w:lang w:val="en-US" w:eastAsia="zh-CN"/>
        </w:rPr>
        <w:t>分，合理的最低投标报价（不低于成本价）得满分</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每上浮1%扣</w:t>
      </w:r>
      <w:r>
        <w:rPr>
          <w:rFonts w:hint="eastAsia" w:ascii="宋体" w:hAnsi="宋体" w:cs="宋体"/>
          <w:color w:val="auto"/>
          <w:highlight w:val="none"/>
          <w:u w:val="single"/>
          <w:lang w:val="en-US" w:eastAsia="zh-CN"/>
        </w:rPr>
        <w:t xml:space="preserve"> 2 </w:t>
      </w:r>
      <w:r>
        <w:rPr>
          <w:rFonts w:hint="eastAsia" w:ascii="宋体" w:hAnsi="宋体" w:eastAsia="宋体" w:cs="宋体"/>
          <w:color w:val="auto"/>
          <w:highlight w:val="none"/>
          <w:lang w:val="en-US" w:eastAsia="zh-CN"/>
        </w:rPr>
        <w:t>分</w:t>
      </w:r>
      <w:r>
        <w:rPr>
          <w:rFonts w:hint="eastAsia" w:ascii="宋体" w:hAnsi="宋体" w:cs="宋体"/>
          <w:color w:val="auto"/>
          <w:highlight w:val="none"/>
          <w:lang w:val="en-US" w:eastAsia="zh-CN"/>
        </w:rPr>
        <w:t>，分值扣完为止</w:t>
      </w:r>
      <w:r>
        <w:rPr>
          <w:rFonts w:hint="eastAsia" w:ascii="宋体" w:hAnsi="宋体" w:eastAsia="宋体" w:cs="宋体"/>
          <w:color w:val="auto"/>
          <w:highlight w:val="none"/>
          <w:lang w:val="en-US" w:eastAsia="zh-CN"/>
        </w:rPr>
        <w:t>。（扣减分值的中间值用插入法，小数点后保留两位）。</w:t>
      </w:r>
    </w:p>
    <w:p>
      <w:pPr>
        <w:widowControl/>
        <w:spacing w:line="360" w:lineRule="auto"/>
        <w:ind w:firstLine="422" w:firstLineChars="200"/>
        <w:outlineLvl w:val="1"/>
        <w:rPr>
          <w:rFonts w:hint="eastAsia" w:ascii="宋体" w:hAnsi="宋体" w:eastAsia="宋体" w:cs="宋体"/>
          <w:b w:val="0"/>
          <w:bCs w:val="0"/>
          <w:color w:val="auto"/>
          <w:highlight w:val="none"/>
          <w:lang w:val="en-US" w:eastAsia="zh-CN"/>
        </w:rPr>
      </w:pPr>
      <w:r>
        <w:rPr>
          <w:rFonts w:hint="eastAsia" w:ascii="宋体" w:hAnsi="宋体" w:cs="宋体"/>
          <w:b/>
          <w:bCs/>
          <w:color w:val="auto"/>
          <w:kern w:val="0"/>
          <w:sz w:val="21"/>
          <w:szCs w:val="21"/>
          <w:highlight w:val="none"/>
          <w:lang w:val="en-US" w:eastAsia="zh-CN"/>
        </w:rPr>
        <w:t>评标办法二：</w:t>
      </w:r>
      <w:r>
        <w:rPr>
          <w:rFonts w:hint="eastAsia" w:ascii="宋体" w:hAnsi="宋体" w:eastAsia="宋体" w:cs="宋体"/>
          <w:b/>
          <w:bCs/>
          <w:color w:val="auto"/>
          <w:kern w:val="0"/>
          <w:sz w:val="21"/>
          <w:szCs w:val="21"/>
          <w:highlight w:val="none"/>
          <w:lang w:val="en-US" w:eastAsia="zh-CN"/>
        </w:rPr>
        <w:t>综合评估法</w:t>
      </w:r>
    </w:p>
    <w:p>
      <w:pPr>
        <w:keepNext w:val="0"/>
        <w:keepLines w:val="0"/>
        <w:pageBreakBefore w:val="0"/>
        <w:widowControl/>
        <w:kinsoku/>
        <w:wordWrap/>
        <w:overflowPunct/>
        <w:topLinePunct w:val="0"/>
        <w:autoSpaceDE/>
        <w:autoSpaceDN/>
        <w:bidi w:val="0"/>
        <w:spacing w:line="360" w:lineRule="auto"/>
        <w:ind w:left="600"/>
        <w:jc w:val="left"/>
        <w:textAlignment w:val="auto"/>
        <w:outlineLvl w:val="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w:t>
      </w: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lang w:val="en-US" w:eastAsia="zh-CN"/>
        </w:rPr>
        <w:t>）技术部分评审。</w:t>
      </w:r>
    </w:p>
    <w:p>
      <w:pPr>
        <w:keepNext w:val="0"/>
        <w:keepLines w:val="0"/>
        <w:pageBreakBefore w:val="0"/>
        <w:widowControl/>
        <w:kinsoku/>
        <w:wordWrap/>
        <w:overflowPunct/>
        <w:topLinePunct w:val="0"/>
        <w:autoSpaceDE/>
        <w:autoSpaceDN/>
        <w:bidi w:val="0"/>
        <w:spacing w:line="360" w:lineRule="auto"/>
        <w:ind w:left="600"/>
        <w:jc w:val="left"/>
        <w:textAlignment w:val="auto"/>
        <w:outlineLvl w:val="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w:t>
      </w: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lang w:val="en-US" w:eastAsia="zh-CN"/>
        </w:rPr>
        <w:t>）商务部分评审。</w:t>
      </w:r>
    </w:p>
    <w:p>
      <w:pPr>
        <w:keepNext w:val="0"/>
        <w:keepLines w:val="0"/>
        <w:pageBreakBefore w:val="0"/>
        <w:widowControl/>
        <w:kinsoku/>
        <w:wordWrap/>
        <w:overflowPunct/>
        <w:topLinePunct w:val="0"/>
        <w:autoSpaceDE/>
        <w:autoSpaceDN/>
        <w:bidi w:val="0"/>
        <w:spacing w:line="360" w:lineRule="auto"/>
        <w:ind w:left="600"/>
        <w:jc w:val="left"/>
        <w:textAlignment w:val="auto"/>
        <w:outlineLvl w:val="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w:t>
      </w:r>
      <w:r>
        <w:rPr>
          <w:rFonts w:hint="eastAsia" w:ascii="宋体" w:hAnsi="宋体" w:cs="宋体"/>
          <w:b w:val="0"/>
          <w:bCs w:val="0"/>
          <w:color w:val="auto"/>
          <w:highlight w:val="none"/>
          <w:lang w:val="en-US" w:eastAsia="zh-CN"/>
        </w:rPr>
        <w:t>3</w:t>
      </w:r>
      <w:r>
        <w:rPr>
          <w:rFonts w:hint="eastAsia" w:ascii="宋体" w:hAnsi="宋体" w:eastAsia="宋体" w:cs="宋体"/>
          <w:b w:val="0"/>
          <w:bCs w:val="0"/>
          <w:color w:val="auto"/>
          <w:highlight w:val="none"/>
          <w:lang w:val="en-US" w:eastAsia="zh-CN"/>
        </w:rPr>
        <w:t>）汇总评分结果。</w:t>
      </w:r>
    </w:p>
    <w:p>
      <w:pPr>
        <w:keepNext w:val="0"/>
        <w:keepLines w:val="0"/>
        <w:pageBreakBefore w:val="0"/>
        <w:widowControl/>
        <w:kinsoku/>
        <w:wordWrap/>
        <w:overflowPunct/>
        <w:topLinePunct w:val="0"/>
        <w:autoSpaceDE/>
        <w:autoSpaceDN/>
        <w:bidi w:val="0"/>
        <w:spacing w:line="360" w:lineRule="auto"/>
        <w:ind w:left="600"/>
        <w:jc w:val="left"/>
        <w:textAlignment w:val="auto"/>
        <w:outlineLvl w:val="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C=a1×J+a</w:t>
      </w: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lang w:val="en-US" w:eastAsia="zh-CN"/>
        </w:rPr>
        <w:t>×</w:t>
      </w:r>
      <w:r>
        <w:rPr>
          <w:rFonts w:hint="eastAsia" w:ascii="宋体" w:hAnsi="宋体" w:cs="宋体"/>
          <w:b w:val="0"/>
          <w:bCs w:val="0"/>
          <w:color w:val="auto"/>
          <w:highlight w:val="none"/>
          <w:lang w:val="en-US" w:eastAsia="zh-CN"/>
        </w:rPr>
        <w:t>S</w:t>
      </w:r>
    </w:p>
    <w:p>
      <w:pPr>
        <w:keepNext w:val="0"/>
        <w:keepLines w:val="0"/>
        <w:pageBreakBefore w:val="0"/>
        <w:widowControl/>
        <w:kinsoku/>
        <w:wordWrap/>
        <w:overflowPunct/>
        <w:topLinePunct w:val="0"/>
        <w:autoSpaceDE/>
        <w:autoSpaceDN/>
        <w:bidi w:val="0"/>
        <w:spacing w:line="360" w:lineRule="auto"/>
        <w:ind w:left="600"/>
        <w:jc w:val="left"/>
        <w:textAlignment w:val="auto"/>
        <w:outlineLvl w:val="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 xml:space="preserve">其中： </w:t>
      </w:r>
    </w:p>
    <w:p>
      <w:pPr>
        <w:keepNext w:val="0"/>
        <w:keepLines w:val="0"/>
        <w:pageBreakBefore w:val="0"/>
        <w:widowControl/>
        <w:kinsoku/>
        <w:wordWrap/>
        <w:overflowPunct/>
        <w:topLinePunct w:val="0"/>
        <w:autoSpaceDE/>
        <w:autoSpaceDN/>
        <w:bidi w:val="0"/>
        <w:spacing w:line="360" w:lineRule="auto"/>
        <w:ind w:left="600"/>
        <w:jc w:val="left"/>
        <w:textAlignment w:val="auto"/>
        <w:outlineLvl w:val="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C：指投标人的最后得分；</w:t>
      </w:r>
    </w:p>
    <w:p>
      <w:pPr>
        <w:keepNext w:val="0"/>
        <w:keepLines w:val="0"/>
        <w:pageBreakBefore w:val="0"/>
        <w:widowControl/>
        <w:kinsoku/>
        <w:wordWrap/>
        <w:overflowPunct/>
        <w:topLinePunct w:val="0"/>
        <w:autoSpaceDE/>
        <w:autoSpaceDN/>
        <w:bidi w:val="0"/>
        <w:spacing w:line="360" w:lineRule="auto"/>
        <w:ind w:left="600"/>
        <w:jc w:val="left"/>
        <w:textAlignment w:val="auto"/>
        <w:outlineLvl w:val="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 xml:space="preserve">J：指投标人的技术部分得分；  </w:t>
      </w:r>
    </w:p>
    <w:p>
      <w:pPr>
        <w:keepNext w:val="0"/>
        <w:keepLines w:val="0"/>
        <w:pageBreakBefore w:val="0"/>
        <w:widowControl/>
        <w:kinsoku/>
        <w:wordWrap/>
        <w:overflowPunct/>
        <w:topLinePunct w:val="0"/>
        <w:autoSpaceDE/>
        <w:autoSpaceDN/>
        <w:bidi w:val="0"/>
        <w:spacing w:line="360" w:lineRule="auto"/>
        <w:ind w:left="600"/>
        <w:jc w:val="left"/>
        <w:textAlignment w:val="auto"/>
        <w:outlineLvl w:val="9"/>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S</w:t>
      </w:r>
      <w:r>
        <w:rPr>
          <w:rFonts w:hint="eastAsia" w:ascii="宋体" w:hAnsi="宋体" w:eastAsia="宋体" w:cs="宋体"/>
          <w:b w:val="0"/>
          <w:bCs w:val="0"/>
          <w:color w:val="auto"/>
          <w:highlight w:val="none"/>
          <w:lang w:val="en-US" w:eastAsia="zh-CN"/>
        </w:rPr>
        <w:t>：指投标人的</w:t>
      </w:r>
      <w:r>
        <w:rPr>
          <w:rFonts w:hint="eastAsia" w:ascii="宋体" w:hAnsi="宋体" w:cs="宋体"/>
          <w:b w:val="0"/>
          <w:bCs w:val="0"/>
          <w:color w:val="auto"/>
          <w:highlight w:val="none"/>
          <w:lang w:val="en-US" w:eastAsia="zh-CN"/>
        </w:rPr>
        <w:t>商务部分</w:t>
      </w:r>
      <w:r>
        <w:rPr>
          <w:rFonts w:hint="eastAsia" w:ascii="宋体" w:hAnsi="宋体" w:eastAsia="宋体" w:cs="宋体"/>
          <w:b w:val="0"/>
          <w:bCs w:val="0"/>
          <w:color w:val="auto"/>
          <w:highlight w:val="none"/>
          <w:lang w:val="en-US" w:eastAsia="zh-CN"/>
        </w:rPr>
        <w:t>得分；</w:t>
      </w:r>
    </w:p>
    <w:p>
      <w:pPr>
        <w:keepNext w:val="0"/>
        <w:keepLines w:val="0"/>
        <w:pageBreakBefore w:val="0"/>
        <w:widowControl/>
        <w:kinsoku/>
        <w:wordWrap/>
        <w:overflowPunct/>
        <w:topLinePunct w:val="0"/>
        <w:autoSpaceDE/>
        <w:autoSpaceDN/>
        <w:bidi w:val="0"/>
        <w:spacing w:line="360" w:lineRule="auto"/>
        <w:ind w:left="600"/>
        <w:jc w:val="left"/>
        <w:textAlignment w:val="auto"/>
        <w:outlineLvl w:val="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a1、a2：指相应技术部分、</w:t>
      </w:r>
      <w:r>
        <w:rPr>
          <w:rFonts w:hint="eastAsia" w:ascii="宋体" w:hAnsi="宋体" w:cs="宋体"/>
          <w:b w:val="0"/>
          <w:bCs w:val="0"/>
          <w:color w:val="auto"/>
          <w:highlight w:val="none"/>
          <w:lang w:val="en-US" w:eastAsia="zh-CN"/>
        </w:rPr>
        <w:t>商务部分</w:t>
      </w:r>
      <w:r>
        <w:rPr>
          <w:rFonts w:hint="eastAsia" w:ascii="宋体" w:hAnsi="宋体" w:eastAsia="宋体" w:cs="宋体"/>
          <w:b w:val="0"/>
          <w:bCs w:val="0"/>
          <w:color w:val="auto"/>
          <w:highlight w:val="none"/>
          <w:lang w:val="en-US" w:eastAsia="zh-CN"/>
        </w:rPr>
        <w:t>权重系数。</w:t>
      </w:r>
    </w:p>
    <w:p>
      <w:pPr>
        <w:keepNext w:val="0"/>
        <w:keepLines w:val="0"/>
        <w:pageBreakBefore w:val="0"/>
        <w:widowControl/>
        <w:kinsoku/>
        <w:wordWrap/>
        <w:overflowPunct/>
        <w:topLinePunct w:val="0"/>
        <w:autoSpaceDE/>
        <w:autoSpaceDN/>
        <w:bidi w:val="0"/>
        <w:spacing w:line="360" w:lineRule="auto"/>
        <w:ind w:left="600"/>
        <w:jc w:val="left"/>
        <w:textAlignment w:val="auto"/>
        <w:outlineLvl w:val="9"/>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商务部分</w:t>
      </w:r>
      <w:r>
        <w:rPr>
          <w:rFonts w:hint="eastAsia" w:ascii="宋体" w:hAnsi="宋体" w:cs="宋体"/>
          <w:b w:val="0"/>
          <w:bCs w:val="0"/>
          <w:color w:val="auto"/>
          <w:kern w:val="0"/>
          <w:sz w:val="21"/>
          <w:szCs w:val="21"/>
          <w:highlight w:val="none"/>
          <w:lang w:val="en-US" w:eastAsia="zh-CN"/>
        </w:rPr>
        <w:t>中投标报价</w:t>
      </w:r>
      <w:r>
        <w:rPr>
          <w:rFonts w:hint="eastAsia" w:ascii="宋体" w:hAnsi="宋体" w:eastAsia="宋体" w:cs="宋体"/>
          <w:b w:val="0"/>
          <w:bCs w:val="0"/>
          <w:color w:val="auto"/>
          <w:kern w:val="0"/>
          <w:sz w:val="21"/>
          <w:szCs w:val="21"/>
          <w:highlight w:val="none"/>
        </w:rPr>
        <w:t>评审步骤和方式</w:t>
      </w:r>
      <w:r>
        <w:rPr>
          <w:rFonts w:hint="eastAsia" w:ascii="宋体" w:hAnsi="宋体" w:cs="宋体"/>
          <w:b w:val="0"/>
          <w:bCs w:val="0"/>
          <w:color w:val="auto"/>
          <w:kern w:val="0"/>
          <w:sz w:val="21"/>
          <w:szCs w:val="21"/>
          <w:highlight w:val="none"/>
          <w:lang w:eastAsia="zh-CN"/>
        </w:rPr>
        <w:t>：</w:t>
      </w:r>
    </w:p>
    <w:p>
      <w:pPr>
        <w:keepNext w:val="0"/>
        <w:keepLines w:val="0"/>
        <w:pageBreakBefore w:val="0"/>
        <w:widowControl/>
        <w:kinsoku/>
        <w:wordWrap/>
        <w:overflowPunct/>
        <w:topLinePunct w:val="0"/>
        <w:autoSpaceDE/>
        <w:autoSpaceDN/>
        <w:bidi w:val="0"/>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default" w:ascii="Calibri" w:hAnsi="Calibri" w:eastAsia="宋体" w:cs="Calibri"/>
          <w:color w:val="auto"/>
          <w:kern w:val="0"/>
          <w:sz w:val="21"/>
          <w:szCs w:val="21"/>
          <w:highlight w:val="none"/>
        </w:rPr>
        <w:t>①</w:t>
      </w:r>
      <w:r>
        <w:rPr>
          <w:rFonts w:hint="eastAsia" w:ascii="宋体" w:hAnsi="宋体" w:eastAsia="宋体" w:cs="宋体"/>
          <w:color w:val="auto"/>
          <w:kern w:val="0"/>
          <w:sz w:val="21"/>
          <w:szCs w:val="21"/>
          <w:highlight w:val="none"/>
        </w:rPr>
        <w:t>评标基准价F的计算：</w:t>
      </w:r>
    </w:p>
    <w:p>
      <w:pPr>
        <w:keepNext w:val="0"/>
        <w:keepLines w:val="0"/>
        <w:pageBreakBefore w:val="0"/>
        <w:widowControl/>
        <w:kinsoku/>
        <w:wordWrap/>
        <w:overflowPunct/>
        <w:topLinePunct w:val="0"/>
        <w:autoSpaceDE/>
        <w:autoSpaceDN/>
        <w:bidi w:val="0"/>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公式一：（适用于当有效投标报价个数n≥7时）</w:t>
      </w:r>
    </w:p>
    <w:p>
      <w:pPr>
        <w:keepNext w:val="0"/>
        <w:keepLines w:val="0"/>
        <w:pageBreakBefore w:val="0"/>
        <w:kinsoku/>
        <w:wordWrap/>
        <w:overflowPunct/>
        <w:topLinePunct w:val="0"/>
        <w:autoSpaceDE/>
        <w:autoSpaceDN/>
        <w:bidi w:val="0"/>
        <w:spacing w:line="360" w:lineRule="auto"/>
        <w:ind w:firstLine="1995" w:firstLineChars="9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0" distR="0" simplePos="0" relativeHeight="251660288" behindDoc="1" locked="0" layoutInCell="1" allowOverlap="1">
                <wp:simplePos x="0" y="0"/>
                <wp:positionH relativeFrom="column">
                  <wp:posOffset>685800</wp:posOffset>
                </wp:positionH>
                <wp:positionV relativeFrom="paragraph">
                  <wp:posOffset>40005</wp:posOffset>
                </wp:positionV>
                <wp:extent cx="571500" cy="763270"/>
                <wp:effectExtent l="0" t="0" r="0" b="17780"/>
                <wp:wrapNone/>
                <wp:docPr id="2" name="矩形 17"/>
                <wp:cNvGraphicFramePr/>
                <a:graphic xmlns:a="http://schemas.openxmlformats.org/drawingml/2006/main">
                  <a:graphicData uri="http://schemas.microsoft.com/office/word/2010/wordprocessingShape">
                    <wps:wsp>
                      <wps:cNvSpPr/>
                      <wps:spPr>
                        <a:xfrm>
                          <a:off x="0" y="0"/>
                          <a:ext cx="571500" cy="763270"/>
                        </a:xfrm>
                        <a:prstGeom prst="rect">
                          <a:avLst/>
                        </a:prstGeom>
                        <a:solidFill>
                          <a:srgbClr val="FFFFFF"/>
                        </a:solidFill>
                        <a:ln>
                          <a:noFill/>
                        </a:ln>
                      </wps:spPr>
                      <wps:txbx>
                        <w:txbxContent>
                          <w:p>
                            <w:pPr>
                              <w:rPr>
                                <w:sz w:val="28"/>
                                <w:szCs w:val="28"/>
                              </w:rPr>
                            </w:pPr>
                            <w:r>
                              <w:rPr>
                                <w:rFonts w:hint="eastAsia"/>
                                <w:sz w:val="28"/>
                                <w:szCs w:val="28"/>
                              </w:rPr>
                              <w:t>F=</w:t>
                            </w:r>
                          </w:p>
                        </w:txbxContent>
                      </wps:txbx>
                      <wps:bodyPr vert="horz" wrap="square" anchor="t" upright="1"/>
                    </wps:wsp>
                  </a:graphicData>
                </a:graphic>
              </wp:anchor>
            </w:drawing>
          </mc:Choice>
          <mc:Fallback>
            <w:pict>
              <v:rect id="矩形 17" o:spid="_x0000_s1026" o:spt="1" style="position:absolute;left:0pt;margin-left:54pt;margin-top:3.15pt;height:60.1pt;width:45pt;z-index:-251656192;mso-width-relative:page;mso-height-relative:page;" fillcolor="#FFFFFF" filled="t" stroked="f" coordsize="21600,21600" o:gfxdata="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4sEI49UAAAAJAQAADwAAAAAAAAABACAAAAAiAAAA&#10;ZHJzL2Rvd25yZXYueG1sUEsBAhQAFAAAAAgAh07iQP3r987RAQAAjwMAAA4AAAAAAAAAAQAgAAAA&#10;JAEAAGRycy9lMm9Eb2MueG1sUEsFBgAAAAAGAAYAWQEAAGcFAAAAAA==&#10;">
                <v:fill on="t" focussize="0,0"/>
                <v:stroke on="f"/>
                <v:imagedata o:title=""/>
                <o:lock v:ext="edit" aspectratio="f"/>
                <v:textbox>
                  <w:txbxContent>
                    <w:p>
                      <w:pPr>
                        <w:rPr>
                          <w:sz w:val="28"/>
                          <w:szCs w:val="28"/>
                        </w:rPr>
                      </w:pPr>
                      <w:r>
                        <w:rPr>
                          <w:rFonts w:hint="eastAsia"/>
                          <w:sz w:val="28"/>
                          <w:szCs w:val="28"/>
                        </w:rPr>
                        <w:t>F=</w:t>
                      </w:r>
                    </w:p>
                  </w:txbxContent>
                </v:textbox>
              </v:rect>
            </w:pict>
          </mc:Fallback>
        </mc:AlternateContent>
      </w:r>
      <w:r>
        <w:rPr>
          <w:rFonts w:hint="eastAsia" w:ascii="宋体" w:hAnsi="宋体" w:eastAsia="宋体" w:cs="宋体"/>
          <w:color w:val="auto"/>
          <w:sz w:val="21"/>
          <w:szCs w:val="21"/>
          <w:highlight w:val="none"/>
        </w:rPr>
        <w:t>（t</w:t>
      </w:r>
      <w:r>
        <w:rPr>
          <w:rFonts w:hint="eastAsia" w:ascii="宋体" w:hAnsi="宋体" w:eastAsia="宋体" w:cs="宋体"/>
          <w:color w:val="auto"/>
          <w:sz w:val="21"/>
          <w:szCs w:val="21"/>
          <w:highlight w:val="none"/>
          <w:vertAlign w:val="subscript"/>
        </w:rPr>
        <w:t>max-1</w:t>
      </w:r>
      <w:r>
        <w:rPr>
          <w:rFonts w:hint="eastAsia" w:ascii="宋体" w:hAnsi="宋体" w:eastAsia="宋体" w:cs="宋体"/>
          <w:color w:val="auto"/>
          <w:sz w:val="21"/>
          <w:szCs w:val="21"/>
          <w:highlight w:val="none"/>
        </w:rPr>
        <w:t>×0.5 ＋t</w:t>
      </w:r>
      <w:r>
        <w:rPr>
          <w:rFonts w:hint="eastAsia" w:ascii="宋体" w:hAnsi="宋体" w:eastAsia="宋体" w:cs="宋体"/>
          <w:color w:val="auto"/>
          <w:sz w:val="21"/>
          <w:szCs w:val="21"/>
          <w:highlight w:val="none"/>
          <w:vertAlign w:val="subscript"/>
        </w:rPr>
        <w:t>min+1</w:t>
      </w:r>
      <w:r>
        <w:rPr>
          <w:rFonts w:hint="eastAsia" w:ascii="宋体" w:hAnsi="宋体" w:eastAsia="宋体" w:cs="宋体"/>
          <w:color w:val="auto"/>
          <w:sz w:val="21"/>
          <w:szCs w:val="21"/>
          <w:highlight w:val="none"/>
        </w:rPr>
        <w:t>×0.5）＋t</w:t>
      </w:r>
      <w:r>
        <w:rPr>
          <w:rFonts w:hint="eastAsia" w:ascii="宋体" w:hAnsi="宋体" w:eastAsia="宋体" w:cs="宋体"/>
          <w:color w:val="auto"/>
          <w:sz w:val="21"/>
          <w:szCs w:val="21"/>
          <w:highlight w:val="none"/>
          <w:vertAlign w:val="subscript"/>
        </w:rPr>
        <w:t>1</w:t>
      </w:r>
      <w:r>
        <w:rPr>
          <w:rFonts w:hint="eastAsia" w:ascii="宋体" w:hAnsi="宋体" w:eastAsia="宋体" w:cs="宋体"/>
          <w:color w:val="auto"/>
          <w:sz w:val="21"/>
          <w:szCs w:val="21"/>
          <w:highlight w:val="none"/>
        </w:rPr>
        <w:t>＋ t</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rPr>
        <w:t xml:space="preserve">＋…＋t </w:t>
      </w:r>
      <w:r>
        <w:rPr>
          <w:rFonts w:hint="eastAsia" w:ascii="宋体" w:hAnsi="宋体" w:eastAsia="宋体" w:cs="宋体"/>
          <w:color w:val="auto"/>
          <w:sz w:val="21"/>
          <w:szCs w:val="21"/>
          <w:highlight w:val="none"/>
          <w:vertAlign w:val="subscript"/>
        </w:rPr>
        <w:t>n-4</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0" distR="0" simplePos="0" relativeHeight="251660288" behindDoc="0" locked="0" layoutInCell="1" allowOverlap="1">
                <wp:simplePos x="0" y="0"/>
                <wp:positionH relativeFrom="column">
                  <wp:posOffset>1371600</wp:posOffset>
                </wp:positionH>
                <wp:positionV relativeFrom="paragraph">
                  <wp:posOffset>26035</wp:posOffset>
                </wp:positionV>
                <wp:extent cx="3665855" cy="0"/>
                <wp:effectExtent l="0" t="0" r="0" b="0"/>
                <wp:wrapNone/>
                <wp:docPr id="3" name="直接连接符 18"/>
                <wp:cNvGraphicFramePr/>
                <a:graphic xmlns:a="http://schemas.openxmlformats.org/drawingml/2006/main">
                  <a:graphicData uri="http://schemas.microsoft.com/office/word/2010/wordprocessingShape">
                    <wps:wsp>
                      <wps:cNvCnPr/>
                      <wps:spPr>
                        <a:xfrm>
                          <a:off x="0" y="0"/>
                          <a:ext cx="3665855" cy="0"/>
                        </a:xfrm>
                        <a:prstGeom prst="line">
                          <a:avLst/>
                        </a:prstGeom>
                        <a:ln w="9525" cap="flat" cmpd="sng">
                          <a:solidFill>
                            <a:srgbClr val="000000"/>
                          </a:solidFill>
                          <a:prstDash val="solid"/>
                          <a:round/>
                        </a:ln>
                      </wps:spPr>
                      <wps:bodyPr/>
                    </wps:wsp>
                  </a:graphicData>
                </a:graphic>
              </wp:anchor>
            </w:drawing>
          </mc:Choice>
          <mc:Fallback>
            <w:pict>
              <v:line id="直接连接符 18" o:spid="_x0000_s1026" o:spt="20" style="position:absolute;left:0pt;margin-left:108pt;margin-top:2.05pt;height:0pt;width:288.65pt;z-index:251660288;mso-width-relative:page;mso-height-relative:page;" filled="f" stroked="t" coordsize="21600,21600" o:gfxdata="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7OqINUAAAAHAQAADwAAAAAAAAABACAAAAAiAAAA&#10;ZHJzL2Rvd25yZXYueG1sUEsBAhQAFAAAAAgAh07iQB8sXiPRAQAAjwMAAA4AAAAAAAAAAQAgAAAA&#10;JAEAAGRycy9lMm9Eb2MueG1sUEsFBgAAAAAGAAYAWQEAAGcFAAAAAA==&#10;">
                <v:fill on="f" focussize="0,0"/>
                <v:stroke color="#000000" joinstyle="round"/>
                <v:imagedata o:title=""/>
                <o:lock v:ext="edit" aspectratio="f"/>
              </v:line>
            </w:pict>
          </mc:Fallback>
        </mc:AlternateConten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vertAlign w:val="subscript"/>
        </w:rPr>
        <w:t xml:space="preserve">                                                         </w:t>
      </w:r>
      <w:r>
        <w:rPr>
          <w:rFonts w:hint="eastAsia" w:ascii="宋体" w:hAnsi="宋体" w:eastAsia="宋体" w:cs="宋体"/>
          <w:color w:val="auto"/>
          <w:sz w:val="21"/>
          <w:szCs w:val="21"/>
          <w:highlight w:val="none"/>
        </w:rPr>
        <w:t xml:space="preserve">   n－3</w:t>
      </w:r>
    </w:p>
    <w:p>
      <w:pPr>
        <w:keepNext w:val="0"/>
        <w:keepLines w:val="0"/>
        <w:pageBreakBefore w:val="0"/>
        <w:widowControl/>
        <w:kinsoku/>
        <w:wordWrap/>
        <w:overflowPunct/>
        <w:topLinePunct w:val="0"/>
        <w:autoSpaceDE/>
        <w:autoSpaceDN/>
        <w:bidi w:val="0"/>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 t为有效投标人报价；tmax-1指投标报价中第二高值；tmin+1指投标报价中第二低值；t1、t2…tn-4指分别去掉一个第一高值、一个第二高值和一个第一低值、一个第二低值后的投标报价；</w:t>
      </w:r>
    </w:p>
    <w:p>
      <w:pPr>
        <w:keepNext w:val="0"/>
        <w:keepLines w:val="0"/>
        <w:pageBreakBefore w:val="0"/>
        <w:widowControl/>
        <w:kinsoku/>
        <w:wordWrap/>
        <w:overflowPunct/>
        <w:topLinePunct w:val="0"/>
        <w:autoSpaceDE/>
        <w:autoSpaceDN/>
        <w:bidi w:val="0"/>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公式二：（适用于当有效投标报价个数n在7＞n≥5范围时）</w:t>
      </w:r>
    </w:p>
    <w:p>
      <w:pPr>
        <w:keepNext w:val="0"/>
        <w:keepLines w:val="0"/>
        <w:pageBreakBefore w:val="0"/>
        <w:kinsoku/>
        <w:wordWrap/>
        <w:overflowPunct/>
        <w:topLinePunct w:val="0"/>
        <w:autoSpaceDE/>
        <w:autoSpaceDN/>
        <w:bidi w:val="0"/>
        <w:spacing w:line="360" w:lineRule="auto"/>
        <w:ind w:firstLine="2415" w:firstLineChars="11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0" distR="0" simplePos="0" relativeHeight="251660288" behindDoc="1" locked="0" layoutInCell="1" allowOverlap="1">
                <wp:simplePos x="0" y="0"/>
                <wp:positionH relativeFrom="column">
                  <wp:posOffset>685800</wp:posOffset>
                </wp:positionH>
                <wp:positionV relativeFrom="paragraph">
                  <wp:posOffset>40005</wp:posOffset>
                </wp:positionV>
                <wp:extent cx="571500" cy="763270"/>
                <wp:effectExtent l="0" t="0" r="0" b="17780"/>
                <wp:wrapNone/>
                <wp:docPr id="4" name="矩形 23"/>
                <wp:cNvGraphicFramePr/>
                <a:graphic xmlns:a="http://schemas.openxmlformats.org/drawingml/2006/main">
                  <a:graphicData uri="http://schemas.microsoft.com/office/word/2010/wordprocessingShape">
                    <wps:wsp>
                      <wps:cNvSpPr/>
                      <wps:spPr>
                        <a:xfrm>
                          <a:off x="0" y="0"/>
                          <a:ext cx="571500" cy="763270"/>
                        </a:xfrm>
                        <a:prstGeom prst="rect">
                          <a:avLst/>
                        </a:prstGeom>
                        <a:solidFill>
                          <a:srgbClr val="FFFFFF"/>
                        </a:solidFill>
                        <a:ln>
                          <a:noFill/>
                        </a:ln>
                      </wps:spPr>
                      <wps:txbx>
                        <w:txbxContent>
                          <w:p>
                            <w:pPr>
                              <w:rPr>
                                <w:sz w:val="28"/>
                                <w:szCs w:val="28"/>
                              </w:rPr>
                            </w:pPr>
                            <w:r>
                              <w:rPr>
                                <w:rFonts w:hint="eastAsia"/>
                                <w:sz w:val="28"/>
                                <w:szCs w:val="28"/>
                              </w:rPr>
                              <w:t>F=</w:t>
                            </w:r>
                          </w:p>
                        </w:txbxContent>
                      </wps:txbx>
                      <wps:bodyPr vert="horz" wrap="square" anchor="t" upright="1"/>
                    </wps:wsp>
                  </a:graphicData>
                </a:graphic>
              </wp:anchor>
            </w:drawing>
          </mc:Choice>
          <mc:Fallback>
            <w:pict>
              <v:rect id="矩形 23" o:spid="_x0000_s1026" o:spt="1" style="position:absolute;left:0pt;margin-left:54pt;margin-top:3.15pt;height:60.1pt;width:45pt;z-index:-251656192;mso-width-relative:page;mso-height-relative:page;" fillcolor="#FFFFFF" filled="t" stroked="f" coordsize="21600,21600" o:gfxdata="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LBCOPVAAAACQEAAA8AAAAAAAAAAQAgAAAAIgAA&#10;AGRycy9kb3ducmV2LnhtbFBLAQIUABQAAAAIAIdO4kA7mpmY0gEAAI8DAAAOAAAAAAAAAAEAIAAA&#10;ACQBAABkcnMvZTJvRG9jLnhtbFBLBQYAAAAABgAGAFkBAABoBQAAAAA=&#10;">
                <v:fill on="t" focussize="0,0"/>
                <v:stroke on="f"/>
                <v:imagedata o:title=""/>
                <o:lock v:ext="edit" aspectratio="f"/>
                <v:textbox>
                  <w:txbxContent>
                    <w:p>
                      <w:pPr>
                        <w:rPr>
                          <w:sz w:val="28"/>
                          <w:szCs w:val="28"/>
                        </w:rPr>
                      </w:pPr>
                      <w:r>
                        <w:rPr>
                          <w:rFonts w:hint="eastAsia"/>
                          <w:sz w:val="28"/>
                          <w:szCs w:val="28"/>
                        </w:rPr>
                        <w:t>F=</w:t>
                      </w:r>
                    </w:p>
                  </w:txbxContent>
                </v:textbox>
              </v:rect>
            </w:pict>
          </mc:Fallback>
        </mc:AlternateContent>
      </w:r>
      <w:r>
        <w:rPr>
          <w:rFonts w:hint="eastAsia" w:ascii="宋体" w:hAnsi="宋体" w:eastAsia="宋体" w:cs="宋体"/>
          <w:color w:val="auto"/>
          <w:sz w:val="21"/>
          <w:szCs w:val="21"/>
          <w:highlight w:val="none"/>
        </w:rPr>
        <w:t>t</w:t>
      </w:r>
      <w:r>
        <w:rPr>
          <w:rFonts w:hint="eastAsia" w:ascii="宋体" w:hAnsi="宋体" w:eastAsia="宋体" w:cs="宋体"/>
          <w:color w:val="auto"/>
          <w:sz w:val="21"/>
          <w:szCs w:val="21"/>
          <w:highlight w:val="none"/>
          <w:vertAlign w:val="subscript"/>
        </w:rPr>
        <w:t>1</w:t>
      </w:r>
      <w:r>
        <w:rPr>
          <w:rFonts w:hint="eastAsia" w:ascii="宋体" w:hAnsi="宋体" w:eastAsia="宋体" w:cs="宋体"/>
          <w:color w:val="auto"/>
          <w:sz w:val="21"/>
          <w:szCs w:val="21"/>
          <w:highlight w:val="none"/>
        </w:rPr>
        <w:t>＋ t</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rPr>
        <w:t>＋…＋t</w:t>
      </w:r>
      <w:r>
        <w:rPr>
          <w:rFonts w:hint="eastAsia" w:ascii="宋体" w:hAnsi="宋体" w:eastAsia="宋体" w:cs="宋体"/>
          <w:color w:val="auto"/>
          <w:sz w:val="21"/>
          <w:szCs w:val="21"/>
          <w:highlight w:val="none"/>
          <w:vertAlign w:val="subscript"/>
        </w:rPr>
        <w:t>n-2</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0" distR="0" simplePos="0" relativeHeight="251660288" behindDoc="0" locked="0" layoutInCell="1" allowOverlap="1">
                <wp:simplePos x="0" y="0"/>
                <wp:positionH relativeFrom="column">
                  <wp:posOffset>1419225</wp:posOffset>
                </wp:positionH>
                <wp:positionV relativeFrom="paragraph">
                  <wp:posOffset>25400</wp:posOffset>
                </wp:positionV>
                <wp:extent cx="1714500" cy="0"/>
                <wp:effectExtent l="0" t="0" r="0" b="0"/>
                <wp:wrapNone/>
                <wp:docPr id="5" name="直接连接符 19"/>
                <wp:cNvGraphicFramePr/>
                <a:graphic xmlns:a="http://schemas.openxmlformats.org/drawingml/2006/main">
                  <a:graphicData uri="http://schemas.microsoft.com/office/word/2010/wordprocessingShape">
                    <wps:wsp>
                      <wps:cNvCnPr/>
                      <wps:spPr>
                        <a:xfrm>
                          <a:off x="0" y="0"/>
                          <a:ext cx="1714500" cy="0"/>
                        </a:xfrm>
                        <a:prstGeom prst="line">
                          <a:avLst/>
                        </a:prstGeom>
                        <a:ln w="9525" cap="flat" cmpd="sng">
                          <a:solidFill>
                            <a:srgbClr val="000000"/>
                          </a:solidFill>
                          <a:prstDash val="solid"/>
                          <a:round/>
                        </a:ln>
                      </wps:spPr>
                      <wps:bodyPr/>
                    </wps:wsp>
                  </a:graphicData>
                </a:graphic>
              </wp:anchor>
            </w:drawing>
          </mc:Choice>
          <mc:Fallback>
            <w:pict>
              <v:line id="直接连接符 19" o:spid="_x0000_s1026" o:spt="20" style="position:absolute;left:0pt;margin-left:111.75pt;margin-top:2pt;height:0pt;width:135pt;z-index:251660288;mso-width-relative:page;mso-height-relative:page;" filled="f" stroked="t" coordsize="21600,21600" o:gfxdata="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XbBkU1AAAAAcBAAAPAAAAAAAAAAEAIAAAACIAAABk&#10;cnMvZG93bnJldi54bWxQSwECFAAUAAAACACHTuJAXQefddEBAACPAwAADgAAAAAAAAABACAAAAAj&#10;AQAAZHJzL2Uyb0RvYy54bWxQSwUGAAAAAAYABgBZAQAAZgUAAAAA&#10;">
                <v:fill on="f" focussize="0,0"/>
                <v:stroke color="#000000" joinstyle="round"/>
                <v:imagedata o:title=""/>
                <o:lock v:ext="edit" aspectratio="f"/>
              </v:line>
            </w:pict>
          </mc:Fallback>
        </mc:AlternateConten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vertAlign w:val="subscript"/>
        </w:rPr>
        <w:t xml:space="preserve">                                         </w:t>
      </w:r>
      <w:r>
        <w:rPr>
          <w:rFonts w:hint="eastAsia" w:ascii="宋体" w:hAnsi="宋体" w:eastAsia="宋体" w:cs="宋体"/>
          <w:color w:val="auto"/>
          <w:sz w:val="21"/>
          <w:szCs w:val="21"/>
          <w:highlight w:val="none"/>
        </w:rPr>
        <w:t>n－2</w:t>
      </w:r>
    </w:p>
    <w:p>
      <w:pPr>
        <w:keepNext w:val="0"/>
        <w:keepLines w:val="0"/>
        <w:pageBreakBefore w:val="0"/>
        <w:widowControl/>
        <w:kinsoku/>
        <w:wordWrap/>
        <w:overflowPunct/>
        <w:topLinePunct w:val="0"/>
        <w:autoSpaceDE/>
        <w:autoSpaceDN/>
        <w:bidi w:val="0"/>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注：t1、t2、…、 tn-2指分别去掉一个最高和一个最低值后的投标报价；</w:t>
      </w:r>
    </w:p>
    <w:p>
      <w:pPr>
        <w:keepNext w:val="0"/>
        <w:keepLines w:val="0"/>
        <w:pageBreakBefore w:val="0"/>
        <w:widowControl/>
        <w:kinsoku/>
        <w:wordWrap/>
        <w:overflowPunct/>
        <w:topLinePunct w:val="0"/>
        <w:autoSpaceDE/>
        <w:autoSpaceDN/>
        <w:bidi w:val="0"/>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公式三：（适用于当有效投标报价个数n在5＞n≥3范围时）</w:t>
      </w:r>
    </w:p>
    <w:p>
      <w:pPr>
        <w:keepNext w:val="0"/>
        <w:keepLines w:val="0"/>
        <w:pageBreakBefore w:val="0"/>
        <w:tabs>
          <w:tab w:val="left" w:pos="1260"/>
        </w:tabs>
        <w:kinsoku/>
        <w:wordWrap/>
        <w:overflowPunct/>
        <w:topLinePunct w:val="0"/>
        <w:autoSpaceDE/>
        <w:autoSpaceDN/>
        <w:bidi w:val="0"/>
        <w:spacing w:line="360" w:lineRule="auto"/>
        <w:ind w:firstLine="2205" w:firstLineChars="10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0" distR="0" simplePos="0" relativeHeight="251660288" behindDoc="1" locked="0" layoutInCell="1" allowOverlap="1">
                <wp:simplePos x="0" y="0"/>
                <wp:positionH relativeFrom="column">
                  <wp:posOffset>685800</wp:posOffset>
                </wp:positionH>
                <wp:positionV relativeFrom="paragraph">
                  <wp:posOffset>40005</wp:posOffset>
                </wp:positionV>
                <wp:extent cx="571500" cy="763270"/>
                <wp:effectExtent l="0" t="0" r="0" b="17780"/>
                <wp:wrapNone/>
                <wp:docPr id="11" name="矩形 25"/>
                <wp:cNvGraphicFramePr/>
                <a:graphic xmlns:a="http://schemas.openxmlformats.org/drawingml/2006/main">
                  <a:graphicData uri="http://schemas.microsoft.com/office/word/2010/wordprocessingShape">
                    <wps:wsp>
                      <wps:cNvSpPr/>
                      <wps:spPr>
                        <a:xfrm>
                          <a:off x="0" y="0"/>
                          <a:ext cx="571500" cy="763270"/>
                        </a:xfrm>
                        <a:prstGeom prst="rect">
                          <a:avLst/>
                        </a:prstGeom>
                        <a:solidFill>
                          <a:srgbClr val="FFFFFF"/>
                        </a:solidFill>
                        <a:ln>
                          <a:noFill/>
                        </a:ln>
                      </wps:spPr>
                      <wps:txbx>
                        <w:txbxContent>
                          <w:p>
                            <w:pPr>
                              <w:rPr>
                                <w:sz w:val="28"/>
                                <w:szCs w:val="28"/>
                              </w:rPr>
                            </w:pPr>
                            <w:r>
                              <w:rPr>
                                <w:rFonts w:hint="eastAsia"/>
                                <w:sz w:val="28"/>
                                <w:szCs w:val="28"/>
                              </w:rPr>
                              <w:t>F=</w:t>
                            </w:r>
                          </w:p>
                        </w:txbxContent>
                      </wps:txbx>
                      <wps:bodyPr vert="horz" wrap="square" anchor="t" upright="1"/>
                    </wps:wsp>
                  </a:graphicData>
                </a:graphic>
              </wp:anchor>
            </w:drawing>
          </mc:Choice>
          <mc:Fallback>
            <w:pict>
              <v:rect id="矩形 25" o:spid="_x0000_s1026" o:spt="1" style="position:absolute;left:0pt;margin-left:54pt;margin-top:3.15pt;height:60.1pt;width:45pt;z-index:-251656192;mso-width-relative:page;mso-height-relative:page;" fillcolor="#FFFFFF" filled="t" stroked="f" coordsize="21600,21600" o:gfxdata="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LBCOPVAAAACQEAAA8AAAAAAAAAAQAgAAAAIgAA&#10;AGRycy9kb3ducmV2LnhtbFBLAQIUABQAAAAIAIdO4kD6iaEJ0gEAAJADAAAOAAAAAAAAAAEAIAAA&#10;ACQBAABkcnMvZTJvRG9jLnhtbFBLBQYAAAAABgAGAFkBAABoBQAAAAA=&#10;">
                <v:fill on="t" focussize="0,0"/>
                <v:stroke on="f"/>
                <v:imagedata o:title=""/>
                <o:lock v:ext="edit" aspectratio="f"/>
                <v:textbox>
                  <w:txbxContent>
                    <w:p>
                      <w:pPr>
                        <w:rPr>
                          <w:sz w:val="28"/>
                          <w:szCs w:val="28"/>
                        </w:rPr>
                      </w:pPr>
                      <w:r>
                        <w:rPr>
                          <w:rFonts w:hint="eastAsia"/>
                          <w:sz w:val="28"/>
                          <w:szCs w:val="28"/>
                        </w:rPr>
                        <w:t>F=</w:t>
                      </w:r>
                    </w:p>
                  </w:txbxContent>
                </v:textbox>
              </v:rect>
            </w:pict>
          </mc:Fallback>
        </mc:AlternateContent>
      </w:r>
      <w:r>
        <w:rPr>
          <w:rFonts w:hint="eastAsia" w:ascii="宋体" w:hAnsi="宋体" w:eastAsia="宋体" w:cs="宋体"/>
          <w:color w:val="auto"/>
          <w:sz w:val="21"/>
          <w:szCs w:val="21"/>
          <w:highlight w:val="none"/>
        </w:rPr>
        <w:t>t</w:t>
      </w:r>
      <w:r>
        <w:rPr>
          <w:rFonts w:hint="eastAsia" w:ascii="宋体" w:hAnsi="宋体" w:eastAsia="宋体" w:cs="宋体"/>
          <w:color w:val="auto"/>
          <w:sz w:val="21"/>
          <w:szCs w:val="21"/>
          <w:highlight w:val="none"/>
          <w:vertAlign w:val="subscript"/>
        </w:rPr>
        <w:t>1</w:t>
      </w:r>
      <w:r>
        <w:rPr>
          <w:rFonts w:hint="eastAsia" w:ascii="宋体" w:hAnsi="宋体" w:eastAsia="宋体" w:cs="宋体"/>
          <w:color w:val="auto"/>
          <w:sz w:val="21"/>
          <w:szCs w:val="21"/>
          <w:highlight w:val="none"/>
        </w:rPr>
        <w:t>＋ t</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rPr>
        <w:t>＋…＋t</w:t>
      </w:r>
      <w:r>
        <w:rPr>
          <w:rFonts w:hint="eastAsia" w:ascii="宋体" w:hAnsi="宋体" w:eastAsia="宋体" w:cs="宋体"/>
          <w:color w:val="auto"/>
          <w:sz w:val="21"/>
          <w:szCs w:val="21"/>
          <w:highlight w:val="none"/>
          <w:vertAlign w:val="subscript"/>
        </w:rPr>
        <w:t>n</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mc:AlternateContent>
          <mc:Choice Requires="wps">
            <w:drawing>
              <wp:anchor distT="0" distB="0" distL="0" distR="0" simplePos="0" relativeHeight="251660288" behindDoc="0" locked="0" layoutInCell="1" allowOverlap="1">
                <wp:simplePos x="0" y="0"/>
                <wp:positionH relativeFrom="column">
                  <wp:posOffset>1257300</wp:posOffset>
                </wp:positionH>
                <wp:positionV relativeFrom="paragraph">
                  <wp:posOffset>17780</wp:posOffset>
                </wp:positionV>
                <wp:extent cx="1600200" cy="0"/>
                <wp:effectExtent l="0" t="0" r="0" b="0"/>
                <wp:wrapNone/>
                <wp:docPr id="12" name="直接连接符 22"/>
                <wp:cNvGraphicFramePr/>
                <a:graphic xmlns:a="http://schemas.openxmlformats.org/drawingml/2006/main">
                  <a:graphicData uri="http://schemas.microsoft.com/office/word/2010/wordprocessingShape">
                    <wps:wsp>
                      <wps:cNvCnPr/>
                      <wps:spPr>
                        <a:xfrm>
                          <a:off x="0" y="0"/>
                          <a:ext cx="1600200" cy="0"/>
                        </a:xfrm>
                        <a:prstGeom prst="line">
                          <a:avLst/>
                        </a:prstGeom>
                        <a:ln w="9525" cap="flat" cmpd="sng">
                          <a:solidFill>
                            <a:srgbClr val="000000"/>
                          </a:solidFill>
                          <a:prstDash val="solid"/>
                          <a:round/>
                        </a:ln>
                      </wps:spPr>
                      <wps:bodyPr/>
                    </wps:wsp>
                  </a:graphicData>
                </a:graphic>
              </wp:anchor>
            </w:drawing>
          </mc:Choice>
          <mc:Fallback>
            <w:pict>
              <v:line id="直接连接符 22" o:spid="_x0000_s1026" o:spt="20" style="position:absolute;left:0pt;margin-left:99pt;margin-top:1.4pt;height:0pt;width:126pt;z-index:251660288;mso-width-relative:page;mso-height-relative:page;" filled="f" stroked="t" coordsize="21600,21600" o:gfxdata="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lzjPDTAAAABwEAAA8AAAAAAAAAAQAgAAAAIgAAAGRy&#10;cy9kb3ducmV2LnhtbFBLAQIUABQAAAAIAIdO4kBZHdo/0QEAAJADAAAOAAAAAAAAAAEAIAAAACIB&#10;AABkcnMvZTJvRG9jLnhtbFBLBQYAAAAABgAGAFkBAABlBQAAAAA=&#10;">
                <v:fill on="f" focussize="0,0"/>
                <v:stroke color="#000000" joinstyle="round"/>
                <v:imagedata o:title=""/>
                <o:lock v:ext="edit" aspectratio="f"/>
              </v:line>
            </w:pict>
          </mc:Fallback>
        </mc:AlternateConten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vertAlign w:val="subscript"/>
        </w:rPr>
        <w:t xml:space="preserve">                                       </w:t>
      </w:r>
      <w:r>
        <w:rPr>
          <w:rFonts w:hint="eastAsia" w:ascii="宋体" w:hAnsi="宋体" w:eastAsia="宋体" w:cs="宋体"/>
          <w:color w:val="auto"/>
          <w:sz w:val="21"/>
          <w:szCs w:val="21"/>
          <w:highlight w:val="none"/>
        </w:rPr>
        <w:t>n</w:t>
      </w:r>
    </w:p>
    <w:p>
      <w:pPr>
        <w:keepNext w:val="0"/>
        <w:keepLines w:val="0"/>
        <w:pageBreakBefore w:val="0"/>
        <w:numPr>
          <w:ilvl w:val="0"/>
          <w:numId w:val="0"/>
        </w:numPr>
        <w:kinsoku/>
        <w:wordWrap/>
        <w:overflowPunct/>
        <w:topLinePunct w:val="0"/>
        <w:autoSpaceDE/>
        <w:autoSpaceDN/>
        <w:bidi w:val="0"/>
        <w:spacing w:line="360" w:lineRule="auto"/>
        <w:ind w:firstLine="420" w:firstLineChars="200"/>
        <w:textAlignment w:val="auto"/>
        <w:rPr>
          <w:rFonts w:hint="eastAsia"/>
          <w:color w:val="auto"/>
          <w:highlight w:val="none"/>
          <w:lang w:val="en-US" w:eastAsia="zh-CN"/>
        </w:rPr>
      </w:pPr>
      <w:r>
        <w:rPr>
          <w:rFonts w:hint="default" w:ascii="Calibri" w:hAnsi="Calibri" w:cs="Calibri"/>
          <w:color w:val="auto"/>
          <w:kern w:val="0"/>
          <w:sz w:val="21"/>
          <w:szCs w:val="21"/>
          <w:highlight w:val="none"/>
          <w:lang w:val="en-US" w:eastAsia="zh-CN"/>
        </w:rPr>
        <w:t>②</w:t>
      </w:r>
      <w:r>
        <w:rPr>
          <w:rFonts w:hint="eastAsia" w:ascii="宋体" w:hAnsi="宋体" w:cs="宋体"/>
          <w:color w:val="auto"/>
          <w:kern w:val="0"/>
          <w:sz w:val="21"/>
          <w:szCs w:val="21"/>
          <w:highlight w:val="none"/>
          <w:lang w:val="en-US" w:eastAsia="zh-CN"/>
        </w:rPr>
        <w:t>投标报价评审得分满分分值为</w:t>
      </w:r>
      <w:r>
        <w:rPr>
          <w:rFonts w:hint="eastAsia" w:ascii="宋体" w:hAnsi="宋体" w:cs="宋体"/>
          <w:color w:val="auto"/>
          <w:kern w:val="0"/>
          <w:sz w:val="21"/>
          <w:szCs w:val="21"/>
          <w:highlight w:val="none"/>
          <w:u w:val="single"/>
          <w:lang w:val="en-US" w:eastAsia="zh-CN"/>
        </w:rPr>
        <w:t>90</w:t>
      </w:r>
      <w:r>
        <w:rPr>
          <w:rFonts w:hint="eastAsia" w:ascii="宋体" w:hAnsi="宋体" w:cs="宋体"/>
          <w:color w:val="auto"/>
          <w:kern w:val="0"/>
          <w:sz w:val="21"/>
          <w:szCs w:val="21"/>
          <w:highlight w:val="none"/>
          <w:lang w:val="en-US" w:eastAsia="zh-CN"/>
        </w:rPr>
        <w:t>分，等于评标基准价的投标报价得满分，每下浮1%扣</w:t>
      </w:r>
      <w:r>
        <w:rPr>
          <w:rFonts w:hint="eastAsia" w:ascii="宋体" w:hAnsi="宋体" w:cs="宋体"/>
          <w:color w:val="auto"/>
          <w:kern w:val="0"/>
          <w:sz w:val="21"/>
          <w:szCs w:val="21"/>
          <w:highlight w:val="none"/>
          <w:u w:val="single"/>
          <w:lang w:val="en-US" w:eastAsia="zh-CN"/>
        </w:rPr>
        <w:t xml:space="preserve">  1  </w:t>
      </w:r>
      <w:r>
        <w:rPr>
          <w:rFonts w:hint="eastAsia" w:ascii="宋体" w:hAnsi="宋体" w:cs="宋体"/>
          <w:color w:val="auto"/>
          <w:kern w:val="0"/>
          <w:sz w:val="21"/>
          <w:szCs w:val="21"/>
          <w:highlight w:val="none"/>
          <w:lang w:val="en-US" w:eastAsia="zh-CN"/>
        </w:rPr>
        <w:t>分，每上浮1%扣</w:t>
      </w:r>
      <w:r>
        <w:rPr>
          <w:rFonts w:hint="eastAsia" w:ascii="宋体" w:hAnsi="宋体" w:cs="宋体"/>
          <w:color w:val="auto"/>
          <w:kern w:val="0"/>
          <w:sz w:val="21"/>
          <w:szCs w:val="21"/>
          <w:highlight w:val="none"/>
          <w:u w:val="single"/>
          <w:lang w:val="en-US" w:eastAsia="zh-CN"/>
        </w:rPr>
        <w:t xml:space="preserve">  2  </w:t>
      </w:r>
      <w:r>
        <w:rPr>
          <w:rFonts w:hint="eastAsia" w:ascii="宋体" w:hAnsi="宋体" w:cs="宋体"/>
          <w:color w:val="auto"/>
          <w:kern w:val="0"/>
          <w:sz w:val="21"/>
          <w:szCs w:val="21"/>
          <w:highlight w:val="none"/>
          <w:lang w:val="en-US" w:eastAsia="zh-CN"/>
        </w:rPr>
        <w:t>分，分值扣完为止（扣减分值的中间值用插入法，小数点后保留两位）。</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3.2.</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 xml:space="preserve">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否决投标处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3.3 投标文件的澄清和补正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3.3.1在评标过程中，评标委员会可以书面形式要求投标人对所上传投标文件中不明确的内容进行书面澄清或说明，或者对细微偏差进行补正。评标委员会不接受投标人主动提出的澄清、说明或补正。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3.3.2 澄清、说明和补正不得改变投标文件的实质性内容（算术性错误修正的除外）。投标人的书面澄清、说明和补正属于投标文件的组成部分。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3.3.3 评标委员会对投标人提交的澄清、说明或补正有疑问的，可以要求投标人进一步澄清、说明或补正，直至满足评标委员会的要求。</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3.4 评标结果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3.4.1 除第二章“投标人须知”前附表授权直接确定中标人外，评标委员会按照得分由高到低的顺序推荐</w:t>
      </w:r>
      <w:r>
        <w:rPr>
          <w:rFonts w:hint="eastAsia" w:ascii="宋体" w:hAnsi="宋体" w:cs="宋体"/>
          <w:color w:val="auto"/>
          <w:highlight w:val="none"/>
          <w:lang w:val="en-US" w:eastAsia="zh-CN"/>
        </w:rPr>
        <w:t>不少于</w:t>
      </w:r>
      <w:r>
        <w:rPr>
          <w:rFonts w:hint="eastAsia" w:ascii="宋体" w:hAnsi="宋体" w:cs="宋体"/>
          <w:color w:val="auto"/>
          <w:highlight w:val="none"/>
          <w:u w:val="single"/>
          <w:lang w:val="en-US" w:eastAsia="zh-CN"/>
        </w:rPr>
        <w:t>3</w:t>
      </w:r>
      <w:r>
        <w:rPr>
          <w:rFonts w:hint="eastAsia" w:ascii="宋体" w:hAnsi="宋体" w:cs="宋体"/>
          <w:color w:val="auto"/>
          <w:highlight w:val="none"/>
          <w:lang w:val="en-US" w:eastAsia="zh-CN"/>
        </w:rPr>
        <w:t>家</w:t>
      </w:r>
      <w:r>
        <w:rPr>
          <w:rFonts w:hint="eastAsia" w:ascii="宋体" w:hAnsi="宋体" w:eastAsia="宋体" w:cs="宋体"/>
          <w:color w:val="auto"/>
          <w:highlight w:val="none"/>
        </w:rPr>
        <w:t>中标候选人。</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color w:val="auto"/>
          <w:highlight w:val="none"/>
        </w:rPr>
        <w:t>3.4.2 评标委员会完成评标后，应当向招标人提交书面评标报告。</w:t>
      </w:r>
    </w:p>
    <w:p>
      <w:pPr>
        <w:widowControl/>
        <w:outlineLvl w:val="9"/>
        <w:rPr>
          <w:rFonts w:hint="eastAsia" w:ascii="宋体" w:hAnsi="宋体" w:eastAsia="宋体" w:cs="宋体"/>
          <w:b/>
          <w:bCs/>
          <w:color w:val="auto"/>
          <w:kern w:val="0"/>
          <w:sz w:val="21"/>
          <w:szCs w:val="21"/>
          <w:highlight w:val="none"/>
          <w:lang w:val="en-US" w:eastAsia="zh-CN"/>
        </w:rPr>
      </w:pPr>
    </w:p>
    <w:p>
      <w:pPr>
        <w:widowControl/>
        <w:outlineLvl w:val="9"/>
        <w:rPr>
          <w:rFonts w:hint="eastAsia" w:ascii="宋体" w:hAnsi="宋体" w:eastAsia="宋体" w:cs="宋体"/>
          <w:b/>
          <w:bCs/>
          <w:color w:val="auto"/>
          <w:kern w:val="0"/>
          <w:sz w:val="21"/>
          <w:szCs w:val="21"/>
          <w:highlight w:val="none"/>
          <w:lang w:val="en-US" w:eastAsia="zh-CN"/>
        </w:rPr>
      </w:pPr>
    </w:p>
    <w:p>
      <w:pPr>
        <w:widowControl/>
        <w:outlineLvl w:val="9"/>
        <w:rPr>
          <w:rFonts w:hint="eastAsia" w:ascii="宋体" w:hAnsi="宋体" w:eastAsia="宋体" w:cs="宋体"/>
          <w:b/>
          <w:bCs/>
          <w:color w:val="auto"/>
          <w:kern w:val="0"/>
          <w:sz w:val="21"/>
          <w:szCs w:val="21"/>
          <w:highlight w:val="none"/>
          <w:lang w:val="en-US" w:eastAsia="zh-CN"/>
        </w:rPr>
      </w:pPr>
    </w:p>
    <w:p>
      <w:pPr>
        <w:widowControl/>
        <w:outlineLvl w:val="9"/>
        <w:rPr>
          <w:rFonts w:hint="eastAsia" w:ascii="宋体" w:hAnsi="宋体" w:eastAsia="宋体" w:cs="宋体"/>
          <w:b/>
          <w:bCs/>
          <w:color w:val="auto"/>
          <w:kern w:val="0"/>
          <w:sz w:val="21"/>
          <w:szCs w:val="21"/>
          <w:highlight w:val="none"/>
          <w:lang w:val="en-US" w:eastAsia="zh-CN"/>
        </w:rPr>
      </w:pPr>
    </w:p>
    <w:p>
      <w:pPr>
        <w:widowControl/>
        <w:outlineLvl w:val="9"/>
        <w:rPr>
          <w:rFonts w:hint="eastAsia" w:ascii="宋体" w:hAnsi="宋体" w:eastAsia="宋体" w:cs="宋体"/>
          <w:b/>
          <w:bCs/>
          <w:color w:val="auto"/>
          <w:kern w:val="0"/>
          <w:sz w:val="21"/>
          <w:szCs w:val="21"/>
          <w:highlight w:val="none"/>
          <w:lang w:val="en-US" w:eastAsia="zh-CN"/>
        </w:rPr>
      </w:pPr>
    </w:p>
    <w:p>
      <w:pPr>
        <w:widowControl/>
        <w:outlineLvl w:val="9"/>
        <w:rPr>
          <w:rFonts w:hint="eastAsia" w:ascii="宋体" w:hAnsi="宋体" w:eastAsia="宋体" w:cs="宋体"/>
          <w:b/>
          <w:bCs/>
          <w:color w:val="auto"/>
          <w:kern w:val="0"/>
          <w:sz w:val="21"/>
          <w:szCs w:val="21"/>
          <w:highlight w:val="none"/>
          <w:lang w:val="en-US" w:eastAsia="zh-CN"/>
        </w:rPr>
      </w:pPr>
    </w:p>
    <w:p>
      <w:pPr>
        <w:adjustRightInd w:val="0"/>
        <w:snapToGrid w:val="0"/>
        <w:spacing w:line="360" w:lineRule="auto"/>
        <w:ind w:firstLine="562" w:firstLineChars="200"/>
        <w:jc w:val="center"/>
        <w:outlineLvl w:val="9"/>
        <w:rPr>
          <w:rFonts w:hint="eastAsia" w:ascii="宋体" w:hAnsi="宋体"/>
          <w:b/>
          <w:bCs/>
          <w:color w:val="auto"/>
          <w:sz w:val="28"/>
          <w:szCs w:val="28"/>
          <w:highlight w:val="none"/>
        </w:rPr>
      </w:pPr>
      <w:bookmarkStart w:id="116" w:name="_Toc12430"/>
      <w:bookmarkStart w:id="117" w:name="_Toc22402"/>
      <w:bookmarkStart w:id="118" w:name="_Toc21220"/>
      <w:bookmarkStart w:id="119" w:name="_Toc21906"/>
      <w:bookmarkStart w:id="120" w:name="_Toc30560"/>
    </w:p>
    <w:p>
      <w:pPr>
        <w:adjustRightInd w:val="0"/>
        <w:snapToGrid w:val="0"/>
        <w:spacing w:line="360" w:lineRule="auto"/>
        <w:ind w:firstLine="562" w:firstLineChars="200"/>
        <w:jc w:val="center"/>
        <w:outlineLvl w:val="9"/>
        <w:rPr>
          <w:rFonts w:hint="eastAsia" w:ascii="宋体" w:hAnsi="宋体"/>
          <w:b/>
          <w:bCs/>
          <w:color w:val="auto"/>
          <w:sz w:val="28"/>
          <w:szCs w:val="28"/>
          <w:highlight w:val="none"/>
        </w:rPr>
      </w:pPr>
    </w:p>
    <w:p>
      <w:pPr>
        <w:adjustRightInd w:val="0"/>
        <w:snapToGrid w:val="0"/>
        <w:spacing w:line="360" w:lineRule="auto"/>
        <w:ind w:firstLine="562" w:firstLineChars="200"/>
        <w:jc w:val="center"/>
        <w:outlineLvl w:val="9"/>
        <w:rPr>
          <w:rFonts w:hint="eastAsia" w:ascii="宋体" w:hAnsi="宋体"/>
          <w:b/>
          <w:bCs/>
          <w:color w:val="auto"/>
          <w:sz w:val="28"/>
          <w:szCs w:val="28"/>
          <w:highlight w:val="none"/>
        </w:rPr>
      </w:pPr>
    </w:p>
    <w:p>
      <w:pPr>
        <w:adjustRightInd w:val="0"/>
        <w:snapToGrid w:val="0"/>
        <w:spacing w:line="360" w:lineRule="auto"/>
        <w:ind w:firstLine="562" w:firstLineChars="200"/>
        <w:jc w:val="center"/>
        <w:outlineLvl w:val="9"/>
        <w:rPr>
          <w:rFonts w:hint="eastAsia" w:ascii="宋体" w:hAnsi="宋体"/>
          <w:b/>
          <w:bCs/>
          <w:color w:val="auto"/>
          <w:sz w:val="28"/>
          <w:szCs w:val="28"/>
          <w:highlight w:val="none"/>
        </w:rPr>
      </w:pPr>
    </w:p>
    <w:p>
      <w:pPr>
        <w:adjustRightInd w:val="0"/>
        <w:snapToGrid w:val="0"/>
        <w:spacing w:line="360" w:lineRule="auto"/>
        <w:ind w:firstLine="562" w:firstLineChars="200"/>
        <w:jc w:val="center"/>
        <w:outlineLvl w:val="9"/>
        <w:rPr>
          <w:rFonts w:hint="eastAsia" w:ascii="宋体" w:hAnsi="宋体"/>
          <w:b/>
          <w:bCs/>
          <w:color w:val="auto"/>
          <w:sz w:val="28"/>
          <w:szCs w:val="28"/>
          <w:highlight w:val="none"/>
        </w:rPr>
      </w:pPr>
    </w:p>
    <w:p>
      <w:pPr>
        <w:adjustRightInd w:val="0"/>
        <w:snapToGrid w:val="0"/>
        <w:spacing w:line="360" w:lineRule="auto"/>
        <w:ind w:firstLine="562" w:firstLineChars="200"/>
        <w:jc w:val="center"/>
        <w:outlineLvl w:val="9"/>
        <w:rPr>
          <w:rFonts w:hint="eastAsia" w:ascii="宋体" w:hAnsi="宋体"/>
          <w:b/>
          <w:bCs/>
          <w:color w:val="auto"/>
          <w:sz w:val="28"/>
          <w:szCs w:val="28"/>
          <w:highlight w:val="none"/>
        </w:rPr>
      </w:pPr>
    </w:p>
    <w:p>
      <w:pPr>
        <w:adjustRightInd w:val="0"/>
        <w:snapToGrid w:val="0"/>
        <w:spacing w:line="360" w:lineRule="auto"/>
        <w:ind w:firstLine="562" w:firstLineChars="200"/>
        <w:jc w:val="center"/>
        <w:outlineLvl w:val="9"/>
        <w:rPr>
          <w:rFonts w:hint="eastAsia" w:ascii="宋体" w:hAnsi="宋体"/>
          <w:b/>
          <w:bCs/>
          <w:color w:val="auto"/>
          <w:sz w:val="28"/>
          <w:szCs w:val="28"/>
          <w:highlight w:val="none"/>
        </w:rPr>
      </w:pPr>
    </w:p>
    <w:p>
      <w:pPr>
        <w:adjustRightInd w:val="0"/>
        <w:snapToGrid w:val="0"/>
        <w:spacing w:line="360" w:lineRule="auto"/>
        <w:ind w:firstLine="562" w:firstLineChars="200"/>
        <w:jc w:val="center"/>
        <w:outlineLvl w:val="9"/>
        <w:rPr>
          <w:rFonts w:hint="eastAsia" w:ascii="宋体" w:hAnsi="宋体"/>
          <w:b/>
          <w:bCs/>
          <w:color w:val="auto"/>
          <w:sz w:val="28"/>
          <w:szCs w:val="28"/>
          <w:highlight w:val="none"/>
        </w:rPr>
      </w:pPr>
    </w:p>
    <w:p>
      <w:pPr>
        <w:adjustRightInd w:val="0"/>
        <w:snapToGrid w:val="0"/>
        <w:spacing w:line="360" w:lineRule="auto"/>
        <w:ind w:firstLine="562" w:firstLineChars="200"/>
        <w:jc w:val="center"/>
        <w:outlineLvl w:val="9"/>
        <w:rPr>
          <w:rFonts w:hint="eastAsia" w:ascii="宋体" w:hAnsi="宋体"/>
          <w:b/>
          <w:bCs/>
          <w:color w:val="auto"/>
          <w:sz w:val="28"/>
          <w:szCs w:val="28"/>
          <w:highlight w:val="none"/>
        </w:rPr>
      </w:pPr>
    </w:p>
    <w:p>
      <w:pPr>
        <w:adjustRightInd w:val="0"/>
        <w:snapToGrid w:val="0"/>
        <w:spacing w:line="360" w:lineRule="auto"/>
        <w:jc w:val="both"/>
        <w:outlineLvl w:val="9"/>
        <w:rPr>
          <w:rFonts w:hint="eastAsia" w:ascii="宋体" w:hAnsi="宋体"/>
          <w:b/>
          <w:bCs/>
          <w:color w:val="auto"/>
          <w:sz w:val="28"/>
          <w:szCs w:val="28"/>
          <w:highlight w:val="none"/>
        </w:rPr>
      </w:pPr>
    </w:p>
    <w:p>
      <w:pPr>
        <w:adjustRightInd w:val="0"/>
        <w:snapToGrid w:val="0"/>
        <w:spacing w:line="360" w:lineRule="auto"/>
        <w:ind w:firstLine="562" w:firstLineChars="200"/>
        <w:jc w:val="center"/>
        <w:outlineLvl w:val="2"/>
        <w:rPr>
          <w:rFonts w:hint="eastAsia" w:ascii="宋体" w:hAnsi="宋体" w:cs="宋体"/>
          <w:b/>
          <w:color w:val="auto"/>
          <w:sz w:val="24"/>
          <w:szCs w:val="24"/>
          <w:highlight w:val="none"/>
        </w:rPr>
      </w:pPr>
      <w:r>
        <w:rPr>
          <w:rFonts w:hint="eastAsia" w:ascii="宋体" w:hAnsi="宋体"/>
          <w:b/>
          <w:bCs/>
          <w:color w:val="auto"/>
          <w:sz w:val="28"/>
          <w:szCs w:val="28"/>
          <w:highlight w:val="none"/>
        </w:rPr>
        <w:t>三、否决投标条件</w:t>
      </w:r>
      <w:bookmarkEnd w:id="116"/>
      <w:bookmarkEnd w:id="117"/>
      <w:bookmarkEnd w:id="118"/>
      <w:bookmarkEnd w:id="119"/>
      <w:bookmarkEnd w:id="120"/>
    </w:p>
    <w:p>
      <w:pPr>
        <w:adjustRightInd w:val="0"/>
        <w:snapToGrid w:val="0"/>
        <w:spacing w:line="360" w:lineRule="auto"/>
        <w:ind w:firstLine="482" w:firstLineChars="200"/>
        <w:outlineLvl w:val="3"/>
        <w:rPr>
          <w:rFonts w:hint="eastAsia" w:ascii="宋体" w:hAnsi="宋体"/>
          <w:b/>
          <w:color w:val="auto"/>
          <w:sz w:val="24"/>
          <w:szCs w:val="24"/>
          <w:highlight w:val="none"/>
        </w:rPr>
      </w:pPr>
      <w:r>
        <w:rPr>
          <w:rFonts w:hint="eastAsia" w:ascii="宋体" w:hAnsi="宋体" w:cs="宋体"/>
          <w:b/>
          <w:color w:val="auto"/>
          <w:sz w:val="24"/>
          <w:szCs w:val="24"/>
          <w:highlight w:val="none"/>
        </w:rPr>
        <w:t>1.总  则</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节所集中列示的否决投标条件，是本章“评标办法”的组成部分，是对第二章“投标须知”和本章正文部分所规定的否决投标条件的总结和补充，如果出现相互矛盾的情况，以本节的规定为准，其他地方列出的否决投标条件无效，评标委员会不能依据招标文件“否决投标条件”之外的条款否决投标</w:t>
      </w:r>
      <w:r>
        <w:rPr>
          <w:rFonts w:ascii="宋体" w:hAnsi="宋体"/>
          <w:color w:val="auto"/>
          <w:szCs w:val="21"/>
          <w:highlight w:val="none"/>
        </w:rPr>
        <w:t>。</w:t>
      </w:r>
    </w:p>
    <w:p>
      <w:pPr>
        <w:adjustRightInd w:val="0"/>
        <w:snapToGrid w:val="0"/>
        <w:spacing w:line="360" w:lineRule="auto"/>
        <w:ind w:firstLine="482" w:firstLineChars="200"/>
        <w:outlineLvl w:val="3"/>
        <w:rPr>
          <w:rFonts w:hint="eastAsia" w:ascii="宋体" w:hAnsi="宋体" w:cs="宋体"/>
          <w:b/>
          <w:color w:val="auto"/>
          <w:sz w:val="24"/>
          <w:szCs w:val="24"/>
          <w:highlight w:val="none"/>
        </w:rPr>
      </w:pPr>
      <w:r>
        <w:rPr>
          <w:rFonts w:hint="eastAsia" w:ascii="宋体" w:hAnsi="宋体" w:cs="宋体"/>
          <w:b/>
          <w:color w:val="auto"/>
          <w:sz w:val="24"/>
          <w:szCs w:val="24"/>
          <w:highlight w:val="none"/>
        </w:rPr>
        <w:t>2.否决投标条件</w:t>
      </w:r>
    </w:p>
    <w:p>
      <w:pPr>
        <w:adjustRightInd w:val="0"/>
        <w:snapToGrid w:val="0"/>
        <w:spacing w:line="360" w:lineRule="auto"/>
        <w:ind w:firstLine="482" w:firstLineChars="200"/>
        <w:outlineLvl w:val="9"/>
        <w:rPr>
          <w:rFonts w:hint="eastAsia" w:ascii="宋体" w:hAnsi="宋体" w:cs="宋体"/>
          <w:b/>
          <w:color w:val="auto"/>
          <w:sz w:val="24"/>
          <w:szCs w:val="24"/>
          <w:highlight w:val="none"/>
        </w:rPr>
      </w:pPr>
      <w:bookmarkStart w:id="121" w:name="_Toc4680"/>
      <w:bookmarkStart w:id="122" w:name="_Toc18038"/>
      <w:r>
        <w:rPr>
          <w:rFonts w:hint="eastAsia" w:ascii="宋体" w:hAnsi="宋体" w:cs="宋体"/>
          <w:b/>
          <w:color w:val="auto"/>
          <w:sz w:val="24"/>
          <w:szCs w:val="24"/>
          <w:highlight w:val="none"/>
        </w:rPr>
        <w:t>投标人或投标文件有下列情形之一的,其投标作投标被否决处理：</w:t>
      </w:r>
      <w:bookmarkEnd w:id="121"/>
      <w:bookmarkEnd w:id="122"/>
    </w:p>
    <w:p>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2.1 投标文件未按要求装订、密封和标记的。</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云上营家招标此条不做要求</w:t>
      </w:r>
      <w:r>
        <w:rPr>
          <w:rFonts w:hint="eastAsia" w:ascii="宋体" w:hAnsi="宋体"/>
          <w:color w:val="auto"/>
          <w:szCs w:val="21"/>
          <w:highlight w:val="none"/>
          <w:lang w:eastAsia="zh-CN"/>
        </w:rPr>
        <w:t>）</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2.2未按规定加盖投标人印章或未经法定代表人或其委托代理人签字或盖章的，由委托代理人签字或盖章的，但未随投标文件一起提交有效的《法定代表人授权委托书》原件的。</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2.3有串通投标行为或弄虚作假或有其他违法行为的。</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2.4不按评标委员会要求澄清、说明或补正的。</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2.5投标人工程量清单报价存在有重大漏项、缺项，且在投标书中没有明确的阐述和承诺的。</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2.6未按规定的格式填写,内容不全或关键内容字迹模糊、无法辨认的。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2.7在形式评审、资格评审、响应性评审、价格审查中，评标委员会认定投标人的投标不符合评标办法前附表中规定的任何一项评审标准的。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2.8未按招标文件要求递交证件资料原件的。</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2.9拟派人员不满足招标文件第二章投标须知26需要补充的其他内容“</w:t>
      </w:r>
      <w:r>
        <w:rPr>
          <w:rFonts w:hint="eastAsia" w:ascii="宋体" w:hAnsi="宋体"/>
          <w:color w:val="auto"/>
          <w:szCs w:val="21"/>
          <w:highlight w:val="none"/>
          <w:lang w:eastAsia="zh-CN"/>
        </w:rPr>
        <w:t>劳务</w:t>
      </w:r>
      <w:r>
        <w:rPr>
          <w:rFonts w:hint="eastAsia" w:ascii="宋体" w:hAnsi="宋体"/>
          <w:color w:val="auto"/>
          <w:szCs w:val="21"/>
          <w:highlight w:val="none"/>
        </w:rPr>
        <w:t>分包工程管理人员配备表”要求的。</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color w:val="auto"/>
          <w:highlight w:val="none"/>
        </w:rPr>
      </w:pPr>
      <w:r>
        <w:rPr>
          <w:rFonts w:hint="eastAsia" w:ascii="宋体" w:hAnsi="宋体" w:eastAsia="宋体" w:cs="宋体"/>
          <w:color w:val="auto"/>
          <w:highlight w:val="none"/>
        </w:rPr>
        <w:t>2.10</w:t>
      </w:r>
      <w:r>
        <w:rPr>
          <w:rFonts w:hint="eastAsia"/>
          <w:color w:val="auto"/>
          <w:highlight w:val="none"/>
        </w:rPr>
        <w:t>未按招标文件要求提供投标保证金和履约担保的。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2.</w:t>
      </w:r>
      <w:r>
        <w:rPr>
          <w:rFonts w:hint="eastAsia" w:ascii="宋体" w:hAnsi="宋体"/>
          <w:color w:val="auto"/>
          <w:szCs w:val="21"/>
          <w:highlight w:val="none"/>
          <w:lang w:val="en-US" w:eastAsia="zh-CN"/>
        </w:rPr>
        <w:t>11</w:t>
      </w:r>
      <w:r>
        <w:rPr>
          <w:rFonts w:hint="default" w:ascii="宋体" w:hAnsi="宋体"/>
          <w:color w:val="auto"/>
          <w:szCs w:val="21"/>
          <w:highlight w:val="none"/>
          <w:lang w:val="en-US" w:eastAsia="zh-CN"/>
        </w:rPr>
        <w:t>未按规定</w:t>
      </w:r>
      <w:r>
        <w:rPr>
          <w:rFonts w:hint="eastAsia" w:ascii="宋体" w:hAnsi="宋体"/>
          <w:color w:val="auto"/>
          <w:szCs w:val="21"/>
          <w:highlight w:val="none"/>
          <w:lang w:val="en-US" w:eastAsia="zh-CN"/>
        </w:rPr>
        <w:t>提供经</w:t>
      </w:r>
      <w:r>
        <w:rPr>
          <w:rFonts w:hint="default" w:ascii="宋体" w:hAnsi="宋体"/>
          <w:color w:val="auto"/>
          <w:szCs w:val="21"/>
          <w:highlight w:val="none"/>
          <w:lang w:val="en-US" w:eastAsia="zh-CN"/>
        </w:rPr>
        <w:t>法定代表人签字</w:t>
      </w:r>
      <w:r>
        <w:rPr>
          <w:rFonts w:hint="eastAsia" w:ascii="宋体" w:hAnsi="宋体"/>
          <w:color w:val="auto"/>
          <w:szCs w:val="21"/>
          <w:highlight w:val="none"/>
          <w:lang w:val="en-US" w:eastAsia="zh-CN"/>
        </w:rPr>
        <w:t>并加</w:t>
      </w:r>
      <w:r>
        <w:rPr>
          <w:rFonts w:hint="default" w:ascii="宋体" w:hAnsi="宋体"/>
          <w:color w:val="auto"/>
          <w:szCs w:val="21"/>
          <w:highlight w:val="none"/>
          <w:lang w:val="en-US" w:eastAsia="zh-CN"/>
        </w:rPr>
        <w:t>盖</w:t>
      </w:r>
      <w:r>
        <w:rPr>
          <w:rFonts w:hint="eastAsia" w:ascii="宋体" w:hAnsi="宋体"/>
          <w:color w:val="auto"/>
          <w:szCs w:val="21"/>
          <w:highlight w:val="none"/>
          <w:lang w:val="en-US" w:eastAsia="zh-CN"/>
        </w:rPr>
        <w:t>单位</w:t>
      </w:r>
      <w:r>
        <w:rPr>
          <w:rFonts w:hint="default" w:ascii="宋体" w:hAnsi="宋体"/>
          <w:color w:val="auto"/>
          <w:szCs w:val="21"/>
          <w:highlight w:val="none"/>
          <w:lang w:val="en-US" w:eastAsia="zh-CN"/>
        </w:rPr>
        <w:t>章的《关于不采取停工、围堵等方式解决合同纠纷的承诺函》。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color w:val="auto"/>
          <w:kern w:val="2"/>
          <w:sz w:val="21"/>
          <w:szCs w:val="21"/>
          <w:highlight w:val="none"/>
          <w:lang w:val="en-US" w:eastAsia="zh-CN" w:bidi="ar-SA"/>
        </w:rPr>
      </w:pPr>
      <w:r>
        <w:rPr>
          <w:rFonts w:hint="default"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US" w:eastAsia="zh-CN" w:bidi="ar-SA"/>
        </w:rPr>
        <w:t>12</w:t>
      </w:r>
      <w:r>
        <w:rPr>
          <w:rFonts w:hint="default" w:ascii="宋体" w:hAnsi="宋体" w:eastAsia="宋体" w:cs="宋体"/>
          <w:b w:val="0"/>
          <w:bCs w:val="0"/>
          <w:color w:val="auto"/>
          <w:kern w:val="2"/>
          <w:sz w:val="21"/>
          <w:szCs w:val="21"/>
          <w:highlight w:val="none"/>
          <w:lang w:val="en-US" w:eastAsia="zh-CN" w:bidi="ar-SA"/>
        </w:rPr>
        <w:t>未按规定提供经法定代表人签字并加盖单位公章的《关于农民工实名制管理的承诺函》</w:t>
      </w:r>
      <w:r>
        <w:rPr>
          <w:rFonts w:hint="eastAsia" w:ascii="宋体" w:hAnsi="宋体" w:cs="宋体"/>
          <w:b w:val="0"/>
          <w:bCs w:val="0"/>
          <w:color w:val="auto"/>
          <w:kern w:val="2"/>
          <w:sz w:val="21"/>
          <w:szCs w:val="21"/>
          <w:highlight w:val="none"/>
          <w:lang w:val="en-US" w:eastAsia="zh-CN" w:bidi="ar-SA"/>
        </w:rPr>
        <w:t>。</w:t>
      </w:r>
    </w:p>
    <w:p>
      <w:pPr>
        <w:pStyle w:val="23"/>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2.13投标人投标文件中未提供分包工程施工组织设计/方案或已提供分包工程施工组织设计/方案但根据本评标办法技术部分详细评审标准存在重大漏项、缺项。</w:t>
      </w: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ind w:left="0" w:leftChars="0" w:firstLine="2940" w:firstLineChars="1400"/>
        <w:rPr>
          <w:rFonts w:hint="eastAsia" w:ascii="宋体" w:hAnsi="宋体" w:eastAsia="宋体" w:cs="宋体"/>
          <w:color w:val="auto"/>
          <w:highlight w:val="none"/>
        </w:rPr>
      </w:pPr>
    </w:p>
    <w:p>
      <w:pPr>
        <w:numPr>
          <w:ilvl w:val="0"/>
          <w:numId w:val="8"/>
        </w:numPr>
        <w:adjustRightInd w:val="0"/>
        <w:snapToGrid w:val="0"/>
        <w:spacing w:line="360" w:lineRule="auto"/>
        <w:ind w:left="0" w:leftChars="0" w:firstLine="0" w:firstLineChars="0"/>
        <w:jc w:val="center"/>
        <w:outlineLvl w:val="2"/>
        <w:rPr>
          <w:rFonts w:hint="eastAsia" w:ascii="宋体" w:hAnsi="宋体" w:eastAsia="宋体" w:cs="宋体"/>
          <w:b/>
          <w:bCs/>
          <w:color w:val="auto"/>
          <w:sz w:val="28"/>
          <w:szCs w:val="28"/>
          <w:highlight w:val="none"/>
          <w:lang w:val="en-US" w:eastAsia="zh-CN"/>
        </w:rPr>
      </w:pPr>
      <w:bookmarkStart w:id="123" w:name="_Toc12123"/>
      <w:r>
        <w:rPr>
          <w:rFonts w:hint="eastAsia" w:ascii="宋体" w:hAnsi="宋体" w:eastAsia="宋体" w:cs="宋体"/>
          <w:b/>
          <w:bCs/>
          <w:color w:val="auto"/>
          <w:sz w:val="28"/>
          <w:szCs w:val="28"/>
          <w:highlight w:val="none"/>
          <w:lang w:val="en-US" w:eastAsia="zh-CN"/>
        </w:rPr>
        <w:t>中标通知书格式</w:t>
      </w:r>
      <w:bookmarkEnd w:id="123"/>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rPr>
          <w:rFonts w:hint="eastAsia" w:ascii="宋体" w:hAnsi="宋体" w:eastAsia="宋体" w:cs="宋体"/>
          <w:color w:val="auto"/>
          <w:highlight w:val="none"/>
        </w:rPr>
      </w:pPr>
    </w:p>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编号：</w:t>
      </w:r>
    </w:p>
    <w:p>
      <w:pPr>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中 标 通 知 书</w:t>
      </w:r>
    </w:p>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u w:val="single"/>
          <w:lang w:val="en-US" w:eastAsia="zh-CN"/>
        </w:rPr>
        <w:t xml:space="preserve">  （中标单位全称 ）  </w:t>
      </w:r>
      <w:r>
        <w:rPr>
          <w:rFonts w:hint="eastAsia" w:ascii="宋体" w:hAnsi="宋体" w:eastAsia="宋体" w:cs="宋体"/>
          <w:color w:val="auto"/>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u w:val="none"/>
          <w:lang w:val="en-US" w:eastAsia="zh-CN"/>
        </w:rPr>
        <w:t xml:space="preserve">    </w:t>
      </w:r>
      <w:r>
        <w:rPr>
          <w:rFonts w:hint="eastAsia" w:ascii="宋体" w:hAnsi="宋体" w:eastAsia="宋体" w:cs="宋体"/>
          <w:color w:val="auto"/>
          <w:highlight w:val="none"/>
          <w:u w:val="single"/>
          <w:lang w:val="en-US" w:eastAsia="zh-CN"/>
        </w:rPr>
        <w:t>绥江县保障性租赁住房</w:t>
      </w:r>
      <w:r>
        <w:rPr>
          <w:rFonts w:hint="eastAsia" w:ascii="宋体" w:hAnsi="宋体" w:eastAsia="宋体" w:cs="宋体"/>
          <w:color w:val="auto"/>
          <w:highlight w:val="none"/>
          <w:u w:val="none"/>
          <w:lang w:val="en-US" w:eastAsia="zh-CN"/>
        </w:rPr>
        <w:t>建设项目</w:t>
      </w:r>
      <w:r>
        <w:rPr>
          <w:rFonts w:hint="eastAsia" w:ascii="宋体" w:hAnsi="宋体" w:eastAsia="宋体" w:cs="宋体"/>
          <w:color w:val="auto"/>
          <w:highlight w:val="none"/>
          <w:u w:val="single"/>
          <w:lang w:val="en-US" w:eastAsia="zh-CN"/>
        </w:rPr>
        <w:t>XXX</w:t>
      </w:r>
      <w:r>
        <w:rPr>
          <w:rFonts w:hint="eastAsia" w:ascii="宋体" w:hAnsi="宋体" w:eastAsia="宋体" w:cs="宋体"/>
          <w:color w:val="auto"/>
          <w:highlight w:val="none"/>
          <w:u w:val="none"/>
          <w:lang w:val="en-US" w:eastAsia="zh-CN"/>
        </w:rPr>
        <w:t>工程专业分包于</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年</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月</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日开标（</w:t>
      </w:r>
      <w:r>
        <w:rPr>
          <w:rFonts w:hint="eastAsia" w:ascii="宋体" w:hAnsi="宋体" w:eastAsia="宋体" w:cs="宋体"/>
          <w:color w:val="auto"/>
          <w:highlight w:val="none"/>
          <w:lang w:val="en-US" w:eastAsia="zh-CN"/>
        </w:rPr>
        <w:t>招标编号：</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），经评标委员会推荐、招标人确定以及中标公示，现确定贵单位为中标单位。其主要中标条件如下：</w:t>
      </w:r>
    </w:p>
    <w:p>
      <w:pPr>
        <w:ind w:firstLine="420"/>
        <w:jc w:val="both"/>
        <w:rPr>
          <w:rFonts w:hint="eastAsia" w:ascii="宋体" w:hAnsi="宋体" w:eastAsia="宋体" w:cs="宋体"/>
          <w:color w:val="auto"/>
          <w:highlight w:val="none"/>
          <w:u w:val="none"/>
          <w:lang w:val="en-US" w:eastAsia="zh-CN"/>
        </w:rPr>
      </w:pPr>
    </w:p>
    <w:tbl>
      <w:tblPr>
        <w:tblStyle w:val="24"/>
        <w:tblW w:w="8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2237"/>
        <w:gridCol w:w="2682"/>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01" w:type="dxa"/>
            <w:vMerge w:val="restart"/>
            <w:vAlign w:val="center"/>
          </w:tcPr>
          <w:p>
            <w:pPr>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2237" w:type="dxa"/>
            <w:vMerge w:val="restart"/>
            <w:vAlign w:val="center"/>
          </w:tcPr>
          <w:p>
            <w:pPr>
              <w:spacing w:line="400" w:lineRule="exact"/>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项 目</w:t>
            </w:r>
          </w:p>
        </w:tc>
        <w:tc>
          <w:tcPr>
            <w:tcW w:w="5178" w:type="dxa"/>
            <w:gridSpan w:val="2"/>
            <w:vAlign w:val="center"/>
          </w:tcPr>
          <w:p>
            <w:pPr>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01" w:type="dxa"/>
            <w:vMerge w:val="continue"/>
            <w:vAlign w:val="center"/>
          </w:tcPr>
          <w:p>
            <w:pPr>
              <w:spacing w:line="400" w:lineRule="exact"/>
              <w:jc w:val="center"/>
              <w:rPr>
                <w:rFonts w:hint="eastAsia" w:ascii="宋体" w:hAnsi="宋体" w:eastAsia="宋体" w:cs="宋体"/>
                <w:bCs/>
                <w:color w:val="auto"/>
                <w:sz w:val="21"/>
                <w:szCs w:val="21"/>
                <w:highlight w:val="none"/>
              </w:rPr>
            </w:pPr>
          </w:p>
        </w:tc>
        <w:tc>
          <w:tcPr>
            <w:tcW w:w="2237" w:type="dxa"/>
            <w:vMerge w:val="continue"/>
            <w:vAlign w:val="center"/>
          </w:tcPr>
          <w:p>
            <w:pPr>
              <w:spacing w:line="400" w:lineRule="exact"/>
              <w:jc w:val="center"/>
              <w:rPr>
                <w:rFonts w:hint="eastAsia" w:ascii="宋体" w:hAnsi="宋体" w:eastAsia="宋体" w:cs="宋体"/>
                <w:bCs/>
                <w:color w:val="auto"/>
                <w:sz w:val="21"/>
                <w:szCs w:val="21"/>
                <w:highlight w:val="none"/>
              </w:rPr>
            </w:pPr>
          </w:p>
        </w:tc>
        <w:tc>
          <w:tcPr>
            <w:tcW w:w="2682" w:type="dxa"/>
            <w:vAlign w:val="center"/>
          </w:tcPr>
          <w:p>
            <w:pPr>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小 写(万元)</w:t>
            </w:r>
          </w:p>
        </w:tc>
        <w:tc>
          <w:tcPr>
            <w:tcW w:w="2496" w:type="dxa"/>
            <w:vAlign w:val="center"/>
          </w:tcPr>
          <w:p>
            <w:pPr>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大  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01" w:type="dxa"/>
            <w:vAlign w:val="center"/>
          </w:tcPr>
          <w:p>
            <w:pPr>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237" w:type="dxa"/>
            <w:vAlign w:val="center"/>
          </w:tcPr>
          <w:p>
            <w:pPr>
              <w:spacing w:line="400" w:lineRule="exact"/>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 xml:space="preserve">中 标 金 额      </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不含税</w:t>
            </w:r>
            <w:r>
              <w:rPr>
                <w:rFonts w:hint="eastAsia" w:ascii="宋体" w:hAnsi="宋体" w:eastAsia="宋体" w:cs="宋体"/>
                <w:bCs/>
                <w:color w:val="auto"/>
                <w:sz w:val="21"/>
                <w:szCs w:val="21"/>
                <w:highlight w:val="none"/>
                <w:lang w:eastAsia="zh-CN"/>
              </w:rPr>
              <w:t>）</w:t>
            </w:r>
          </w:p>
        </w:tc>
        <w:tc>
          <w:tcPr>
            <w:tcW w:w="2682" w:type="dxa"/>
            <w:vAlign w:val="center"/>
          </w:tcPr>
          <w:p>
            <w:pPr>
              <w:spacing w:line="400" w:lineRule="exact"/>
              <w:jc w:val="center"/>
              <w:rPr>
                <w:rFonts w:hint="eastAsia" w:ascii="宋体" w:hAnsi="宋体" w:eastAsia="宋体" w:cs="宋体"/>
                <w:bCs/>
                <w:color w:val="auto"/>
                <w:sz w:val="21"/>
                <w:szCs w:val="21"/>
                <w:highlight w:val="none"/>
              </w:rPr>
            </w:pPr>
          </w:p>
        </w:tc>
        <w:tc>
          <w:tcPr>
            <w:tcW w:w="2496" w:type="dxa"/>
            <w:vAlign w:val="center"/>
          </w:tcPr>
          <w:p>
            <w:pPr>
              <w:spacing w:line="400" w:lineRule="exact"/>
              <w:jc w:val="center"/>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01" w:type="dxa"/>
            <w:vAlign w:val="center"/>
          </w:tcPr>
          <w:p>
            <w:pPr>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p>
        </w:tc>
        <w:tc>
          <w:tcPr>
            <w:tcW w:w="2237" w:type="dxa"/>
            <w:vAlign w:val="center"/>
          </w:tcPr>
          <w:p>
            <w:pPr>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中 标 金 额       </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含税</w:t>
            </w:r>
            <w:r>
              <w:rPr>
                <w:rFonts w:hint="eastAsia" w:ascii="宋体" w:hAnsi="宋体" w:eastAsia="宋体" w:cs="宋体"/>
                <w:bCs/>
                <w:color w:val="auto"/>
                <w:sz w:val="21"/>
                <w:szCs w:val="21"/>
                <w:highlight w:val="none"/>
                <w:lang w:eastAsia="zh-CN"/>
              </w:rPr>
              <w:t>）</w:t>
            </w:r>
          </w:p>
        </w:tc>
        <w:tc>
          <w:tcPr>
            <w:tcW w:w="2682" w:type="dxa"/>
            <w:vAlign w:val="center"/>
          </w:tcPr>
          <w:p>
            <w:pPr>
              <w:spacing w:line="400" w:lineRule="exact"/>
              <w:jc w:val="center"/>
              <w:rPr>
                <w:rFonts w:hint="eastAsia" w:ascii="宋体" w:hAnsi="宋体" w:eastAsia="宋体" w:cs="宋体"/>
                <w:bCs/>
                <w:color w:val="auto"/>
                <w:sz w:val="21"/>
                <w:szCs w:val="21"/>
                <w:highlight w:val="none"/>
              </w:rPr>
            </w:pPr>
          </w:p>
        </w:tc>
        <w:tc>
          <w:tcPr>
            <w:tcW w:w="2496" w:type="dxa"/>
            <w:vAlign w:val="center"/>
          </w:tcPr>
          <w:p>
            <w:pPr>
              <w:spacing w:line="400" w:lineRule="exact"/>
              <w:jc w:val="center"/>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01" w:type="dxa"/>
            <w:vAlign w:val="center"/>
          </w:tcPr>
          <w:p>
            <w:pPr>
              <w:spacing w:line="400" w:lineRule="exact"/>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3</w:t>
            </w:r>
          </w:p>
        </w:tc>
        <w:tc>
          <w:tcPr>
            <w:tcW w:w="2237" w:type="dxa"/>
            <w:vAlign w:val="center"/>
          </w:tcPr>
          <w:p>
            <w:pPr>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新增单价确定方式</w:t>
            </w:r>
          </w:p>
        </w:tc>
        <w:tc>
          <w:tcPr>
            <w:tcW w:w="5178" w:type="dxa"/>
            <w:gridSpan w:val="2"/>
            <w:vAlign w:val="center"/>
          </w:tcPr>
          <w:p>
            <w:pPr>
              <w:spacing w:line="40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Cs w:val="21"/>
                <w:highlight w:val="none"/>
                <w:u w:val="none"/>
                <w:lang w:val="en-US" w:eastAsia="zh-CN"/>
              </w:rPr>
              <w:t>双方协商后，根据甲方管理要求执行</w:t>
            </w:r>
            <w:r>
              <w:rPr>
                <w:rFonts w:hint="eastAsia" w:ascii="宋体" w:hAnsi="宋体" w:eastAsia="宋体" w:cs="宋体"/>
                <w:color w:val="auto"/>
                <w:szCs w:val="21"/>
                <w:highlight w:val="none"/>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01" w:type="dxa"/>
            <w:vAlign w:val="center"/>
          </w:tcPr>
          <w:p>
            <w:pPr>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p>
        </w:tc>
        <w:tc>
          <w:tcPr>
            <w:tcW w:w="2237" w:type="dxa"/>
            <w:vAlign w:val="center"/>
          </w:tcPr>
          <w:p>
            <w:pPr>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项目经理</w:t>
            </w:r>
          </w:p>
        </w:tc>
        <w:tc>
          <w:tcPr>
            <w:tcW w:w="5178" w:type="dxa"/>
            <w:gridSpan w:val="2"/>
            <w:vAlign w:val="center"/>
          </w:tcPr>
          <w:p>
            <w:pPr>
              <w:spacing w:line="400" w:lineRule="exact"/>
              <w:jc w:val="center"/>
              <w:rPr>
                <w:rFonts w:hint="eastAsia" w:ascii="宋体" w:hAnsi="宋体" w:eastAsia="宋体" w:cs="宋体"/>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01" w:type="dxa"/>
            <w:vAlign w:val="center"/>
          </w:tcPr>
          <w:p>
            <w:pPr>
              <w:spacing w:line="400" w:lineRule="exact"/>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5</w:t>
            </w:r>
          </w:p>
        </w:tc>
        <w:tc>
          <w:tcPr>
            <w:tcW w:w="2237" w:type="dxa"/>
            <w:vAlign w:val="center"/>
          </w:tcPr>
          <w:p>
            <w:pPr>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质量</w:t>
            </w:r>
            <w:r>
              <w:rPr>
                <w:rFonts w:hint="eastAsia" w:ascii="宋体" w:hAnsi="宋体" w:eastAsia="宋体" w:cs="宋体"/>
                <w:bCs/>
                <w:color w:val="auto"/>
                <w:sz w:val="21"/>
                <w:szCs w:val="21"/>
                <w:highlight w:val="none"/>
                <w:lang w:val="en-US" w:eastAsia="zh-CN"/>
              </w:rPr>
              <w:t>目标</w:t>
            </w:r>
          </w:p>
        </w:tc>
        <w:tc>
          <w:tcPr>
            <w:tcW w:w="5178" w:type="dxa"/>
            <w:gridSpan w:val="2"/>
            <w:vAlign w:val="center"/>
          </w:tcPr>
          <w:p>
            <w:pPr>
              <w:spacing w:line="40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工程质量符合图纸设计要求、国家、行业及地方现行的相关标准及规范一次性验收合格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01" w:type="dxa"/>
            <w:vAlign w:val="center"/>
          </w:tcPr>
          <w:p>
            <w:pPr>
              <w:spacing w:line="400" w:lineRule="exact"/>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6</w:t>
            </w:r>
          </w:p>
        </w:tc>
        <w:tc>
          <w:tcPr>
            <w:tcW w:w="2237" w:type="dxa"/>
            <w:vAlign w:val="center"/>
          </w:tcPr>
          <w:p>
            <w:pPr>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安全文明施工</w:t>
            </w:r>
            <w:r>
              <w:rPr>
                <w:rFonts w:hint="eastAsia" w:ascii="宋体" w:hAnsi="宋体" w:eastAsia="宋体" w:cs="宋体"/>
                <w:bCs/>
                <w:color w:val="auto"/>
                <w:sz w:val="21"/>
                <w:szCs w:val="21"/>
                <w:highlight w:val="none"/>
                <w:lang w:val="en-US" w:eastAsia="zh-CN"/>
              </w:rPr>
              <w:t>目标</w:t>
            </w:r>
          </w:p>
        </w:tc>
        <w:tc>
          <w:tcPr>
            <w:tcW w:w="5178" w:type="dxa"/>
            <w:gridSpan w:val="2"/>
            <w:vAlign w:val="center"/>
          </w:tcPr>
          <w:p>
            <w:pPr>
              <w:spacing w:line="40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highlight w:val="none"/>
                <w:u w:val="none"/>
                <w:lang w:val="en-US" w:eastAsia="zh-CN"/>
              </w:rPr>
              <w:t>按规范及招标人的策划要求及招标文件第二篇管理要求及合同相关内容执行</w:t>
            </w:r>
            <w:r>
              <w:rPr>
                <w:rFonts w:hint="eastAsia" w:ascii="宋体" w:hAnsi="宋体" w:cs="宋体"/>
                <w:color w:val="auto"/>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01" w:type="dxa"/>
            <w:vAlign w:val="center"/>
          </w:tcPr>
          <w:p>
            <w:pPr>
              <w:spacing w:line="400" w:lineRule="exact"/>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7</w:t>
            </w:r>
          </w:p>
        </w:tc>
        <w:tc>
          <w:tcPr>
            <w:tcW w:w="2237" w:type="dxa"/>
            <w:vAlign w:val="center"/>
          </w:tcPr>
          <w:p>
            <w:pPr>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工期</w:t>
            </w:r>
            <w:r>
              <w:rPr>
                <w:rFonts w:hint="eastAsia" w:ascii="宋体" w:hAnsi="宋体" w:eastAsia="宋体" w:cs="宋体"/>
                <w:bCs/>
                <w:color w:val="auto"/>
                <w:sz w:val="21"/>
                <w:szCs w:val="21"/>
                <w:highlight w:val="none"/>
                <w:lang w:val="en-US" w:eastAsia="zh-CN"/>
              </w:rPr>
              <w:t>目标</w:t>
            </w:r>
          </w:p>
        </w:tc>
        <w:tc>
          <w:tcPr>
            <w:tcW w:w="5178" w:type="dxa"/>
            <w:gridSpan w:val="2"/>
            <w:vAlign w:val="center"/>
          </w:tcPr>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开工日期：</w:t>
            </w:r>
            <w:r>
              <w:rPr>
                <w:rFonts w:hint="eastAsia" w:ascii="宋体" w:hAnsi="宋体" w:eastAsia="宋体" w:cs="宋体"/>
                <w:color w:val="auto"/>
                <w:szCs w:val="21"/>
                <w:highlight w:val="none"/>
                <w:u w:val="single"/>
              </w:rPr>
              <w:t xml:space="preserve">    </w:t>
            </w:r>
            <w:r>
              <w:rPr>
                <w:rFonts w:hint="eastAsia" w:ascii="宋体" w:hAnsi="宋体"/>
                <w:color w:val="auto"/>
                <w:szCs w:val="21"/>
                <w:highlight w:val="none"/>
                <w:u w:val="single"/>
                <w:lang w:val="en-US" w:eastAsia="zh-CN"/>
              </w:rPr>
              <w:t>以招标人要求为准</w:t>
            </w:r>
            <w:r>
              <w:rPr>
                <w:rFonts w:hint="eastAsia" w:ascii="宋体" w:hAnsi="宋体"/>
                <w:color w:val="auto"/>
                <w:szCs w:val="21"/>
                <w:highlight w:val="none"/>
                <w:u w:val="single"/>
              </w:rPr>
              <w:t xml:space="preserve"> </w:t>
            </w:r>
            <w:r>
              <w:rPr>
                <w:rFonts w:hint="eastAsia" w:ascii="宋体" w:hAnsi="宋体" w:eastAsia="宋体" w:cs="宋体"/>
                <w:color w:val="auto"/>
                <w:szCs w:val="21"/>
                <w:highlight w:val="none"/>
                <w:u w:val="single"/>
              </w:rPr>
              <w:t xml:space="preserve">   </w:t>
            </w:r>
          </w:p>
          <w:p>
            <w:pPr>
              <w:rPr>
                <w:rFonts w:hint="eastAsia" w:ascii="宋体" w:hAnsi="宋体" w:eastAsia="宋体" w:cs="宋体"/>
                <w:color w:val="auto"/>
                <w:highlight w:val="none"/>
                <w:u w:val="single"/>
              </w:rPr>
            </w:pPr>
            <w:r>
              <w:rPr>
                <w:rFonts w:hint="eastAsia" w:ascii="宋体" w:hAnsi="宋体" w:eastAsia="宋体" w:cs="宋体"/>
                <w:color w:val="auto"/>
                <w:highlight w:val="none"/>
              </w:rPr>
              <w:t>竣工日期：</w:t>
            </w:r>
            <w:r>
              <w:rPr>
                <w:rFonts w:hint="eastAsia" w:ascii="宋体" w:hAnsi="宋体" w:eastAsia="宋体" w:cs="宋体"/>
                <w:color w:val="auto"/>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color w:val="auto"/>
                <w:szCs w:val="21"/>
                <w:highlight w:val="none"/>
                <w:u w:val="single"/>
                <w:lang w:val="en-US" w:eastAsia="zh-CN"/>
              </w:rPr>
              <w:t>以招标人要求为准</w:t>
            </w:r>
            <w:r>
              <w:rPr>
                <w:rFonts w:hint="eastAsia" w:ascii="宋体" w:hAnsi="宋体" w:eastAsia="宋体" w:cs="宋体"/>
                <w:color w:val="auto"/>
                <w:highlight w:val="none"/>
                <w:u w:val="single"/>
              </w:rPr>
              <w:t xml:space="preserve">   </w:t>
            </w:r>
          </w:p>
          <w:p>
            <w:pPr>
              <w:spacing w:line="400" w:lineRule="exact"/>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Cs w:val="21"/>
                <w:highlight w:val="none"/>
              </w:rPr>
              <w:t xml:space="preserve">总工期：  </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45</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日历天。</w:t>
            </w:r>
          </w:p>
        </w:tc>
      </w:tr>
    </w:tbl>
    <w:p>
      <w:pPr>
        <w:ind w:firstLine="420"/>
        <w:jc w:val="both"/>
        <w:rPr>
          <w:rFonts w:hint="eastAsia" w:ascii="宋体" w:hAnsi="宋体" w:eastAsia="宋体" w:cs="宋体"/>
          <w:color w:val="auto"/>
          <w:highlight w:val="none"/>
          <w:u w:val="none"/>
          <w:lang w:val="en-US" w:eastAsia="zh-CN"/>
        </w:rPr>
      </w:pPr>
    </w:p>
    <w:p>
      <w:pPr>
        <w:ind w:firstLine="420" w:firstLineChars="200"/>
        <w:jc w:val="both"/>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u w:val="none"/>
          <w:lang w:val="en-US" w:eastAsia="zh-CN"/>
        </w:rPr>
        <w:t>请贵单位收到中标通知书后</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日内与招标人签订《建设工程施工专业分包合同》。</w:t>
      </w:r>
    </w:p>
    <w:p>
      <w:pPr>
        <w:spacing w:line="480" w:lineRule="exact"/>
        <w:ind w:firstLine="420" w:firstLineChars="200"/>
        <w:rPr>
          <w:rFonts w:hint="eastAsia" w:ascii="宋体" w:hAnsi="宋体" w:eastAsia="宋体" w:cs="宋体"/>
          <w:color w:val="auto"/>
          <w:highlight w:val="none"/>
          <w:u w:val="none"/>
          <w:lang w:val="en-US" w:eastAsia="zh-CN"/>
        </w:rPr>
      </w:pPr>
    </w:p>
    <w:p>
      <w:pPr>
        <w:spacing w:line="48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u w:val="none"/>
          <w:lang w:val="en-US" w:eastAsia="zh-CN"/>
        </w:rPr>
        <w:t xml:space="preserve">   </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招</w:t>
      </w:r>
      <w:r>
        <w:rPr>
          <w:rFonts w:hint="eastAsia" w:ascii="宋体" w:hAnsi="宋体" w:eastAsia="宋体" w:cs="宋体"/>
          <w:color w:val="auto"/>
          <w:szCs w:val="21"/>
          <w:highlight w:val="none"/>
        </w:rPr>
        <w:t xml:space="preserve"> 标 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w:t>
      </w:r>
      <w:r>
        <w:rPr>
          <w:rFonts w:hint="eastAsia" w:ascii="宋体" w:hAnsi="宋体" w:eastAsia="宋体" w:cs="宋体"/>
          <w:color w:val="auto"/>
          <w:szCs w:val="21"/>
          <w:highlight w:val="none"/>
          <w:lang w:val="en-US" w:eastAsia="zh-CN"/>
        </w:rPr>
        <w:t>公</w:t>
      </w:r>
      <w:r>
        <w:rPr>
          <w:rFonts w:hint="eastAsia" w:ascii="宋体" w:hAnsi="宋体" w:eastAsia="宋体" w:cs="宋体"/>
          <w:color w:val="auto"/>
          <w:szCs w:val="21"/>
          <w:highlight w:val="none"/>
        </w:rPr>
        <w:t>章）</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bidi w:val="0"/>
        <w:rPr>
          <w:rFonts w:hint="eastAsia" w:ascii="宋体" w:hAnsi="宋体" w:eastAsia="宋体" w:cs="宋体"/>
          <w:color w:val="auto"/>
          <w:highlight w:val="none"/>
        </w:rPr>
        <w:sectPr>
          <w:footerReference r:id="rId11" w:type="first"/>
          <w:footerReference r:id="rId10" w:type="default"/>
          <w:pgSz w:w="11905" w:h="16838"/>
          <w:pgMar w:top="1440" w:right="1797" w:bottom="1440" w:left="1797" w:header="850" w:footer="992" w:gutter="567"/>
          <w:pgBorders>
            <w:top w:val="none" w:sz="0" w:space="0"/>
            <w:left w:val="none" w:sz="0" w:space="0"/>
            <w:bottom w:val="none" w:sz="0" w:space="0"/>
            <w:right w:val="none" w:sz="0" w:space="0"/>
          </w:pgBorders>
          <w:pgNumType w:fmt="decimal"/>
          <w:cols w:space="720" w:num="1"/>
          <w:rtlGutter w:val="0"/>
          <w:docGrid w:type="lines" w:linePitch="317" w:charSpace="0"/>
        </w:sectPr>
      </w:pPr>
    </w:p>
    <w:p>
      <w:pPr>
        <w:spacing w:line="360" w:lineRule="auto"/>
        <w:jc w:val="center"/>
        <w:outlineLvl w:val="1"/>
        <w:rPr>
          <w:rFonts w:hint="eastAsia" w:ascii="宋体" w:hAnsi="宋体" w:eastAsia="宋体" w:cs="宋体"/>
          <w:b/>
          <w:bCs/>
          <w:color w:val="auto"/>
          <w:kern w:val="44"/>
          <w:sz w:val="32"/>
          <w:szCs w:val="32"/>
          <w:highlight w:val="none"/>
        </w:rPr>
      </w:pPr>
      <w:bookmarkStart w:id="124" w:name="_Toc1228"/>
      <w:r>
        <w:rPr>
          <w:rFonts w:hint="eastAsia" w:ascii="宋体" w:hAnsi="宋体" w:eastAsia="宋体" w:cs="宋体"/>
          <w:b/>
          <w:bCs/>
          <w:color w:val="auto"/>
          <w:kern w:val="44"/>
          <w:sz w:val="32"/>
          <w:szCs w:val="32"/>
          <w:highlight w:val="none"/>
        </w:rPr>
        <w:t>第四章 工程量清单</w:t>
      </w:r>
      <w:bookmarkEnd w:id="124"/>
    </w:p>
    <w:p>
      <w:pPr>
        <w:spacing w:line="360" w:lineRule="auto"/>
        <w:jc w:val="center"/>
        <w:outlineLvl w:val="9"/>
        <w:rPr>
          <w:rFonts w:hint="eastAsia" w:ascii="宋体" w:hAnsi="宋体"/>
          <w:bCs/>
          <w:color w:val="auto"/>
          <w:sz w:val="24"/>
          <w:szCs w:val="22"/>
          <w:highlight w:val="none"/>
        </w:rPr>
      </w:pPr>
      <w:bookmarkStart w:id="125" w:name="_Toc27828"/>
      <w:bookmarkStart w:id="126" w:name="_Toc3896"/>
      <w:bookmarkStart w:id="127" w:name="_Toc28424"/>
      <w:r>
        <w:rPr>
          <w:rFonts w:hint="eastAsia" w:ascii="宋体" w:hAnsi="宋体"/>
          <w:bCs/>
          <w:color w:val="auto"/>
          <w:sz w:val="24"/>
          <w:szCs w:val="22"/>
          <w:highlight w:val="none"/>
        </w:rPr>
        <w:t>（</w:t>
      </w:r>
      <w:r>
        <w:rPr>
          <w:rFonts w:hint="eastAsia" w:ascii="宋体" w:hAnsi="宋体"/>
          <w:bCs/>
          <w:color w:val="auto"/>
          <w:sz w:val="24"/>
          <w:szCs w:val="22"/>
          <w:highlight w:val="none"/>
          <w:lang w:val="en-US" w:eastAsia="zh-CN"/>
        </w:rPr>
        <w:t>详附件1</w:t>
      </w:r>
      <w:r>
        <w:rPr>
          <w:rFonts w:hint="eastAsia" w:ascii="宋体" w:hAnsi="宋体"/>
          <w:bCs/>
          <w:color w:val="auto"/>
          <w:sz w:val="24"/>
          <w:szCs w:val="22"/>
          <w:highlight w:val="none"/>
        </w:rPr>
        <w:t>，随招标文件一起提供）</w:t>
      </w:r>
      <w:bookmarkEnd w:id="125"/>
      <w:bookmarkEnd w:id="126"/>
    </w:p>
    <w:p>
      <w:pPr>
        <w:spacing w:line="360" w:lineRule="auto"/>
        <w:ind w:firstLine="422" w:firstLineChars="200"/>
        <w:outlineLvl w:val="2"/>
        <w:rPr>
          <w:rFonts w:hint="eastAsia" w:ascii="宋体" w:hAnsi="宋体" w:eastAsia="宋体" w:cs="宋体"/>
          <w:b/>
          <w:bCs/>
          <w:color w:val="auto"/>
          <w:szCs w:val="22"/>
          <w:highlight w:val="none"/>
          <w:lang w:eastAsia="zh-CN"/>
        </w:rPr>
      </w:pPr>
      <w:r>
        <w:rPr>
          <w:rFonts w:hint="eastAsia" w:ascii="宋体" w:hAnsi="宋体" w:eastAsia="宋体" w:cs="宋体"/>
          <w:b/>
          <w:bCs/>
          <w:color w:val="auto"/>
          <w:szCs w:val="22"/>
          <w:highlight w:val="none"/>
        </w:rPr>
        <w:t>一、工程量清单说明</w:t>
      </w:r>
      <w:bookmarkEnd w:id="127"/>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1.1本工程量清单中所列工程数量是估算的或设计的预计数量，不能作为最终结算与支付的依据。实际支付应按实际完成的工程量计算支付金额。</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1.2各项单价中已包含</w:t>
      </w:r>
      <w:r>
        <w:rPr>
          <w:rFonts w:hint="eastAsia" w:ascii="宋体" w:hAnsi="宋体" w:eastAsia="宋体" w:cs="宋体"/>
          <w:color w:val="auto"/>
          <w:kern w:val="0"/>
          <w:szCs w:val="21"/>
          <w:highlight w:val="none"/>
          <w:u w:val="single"/>
        </w:rPr>
        <w:tab/>
      </w:r>
      <w:r>
        <w:rPr>
          <w:rFonts w:hint="eastAsia" w:ascii="宋体" w:hAnsi="宋体" w:cs="宋体"/>
          <w:color w:val="auto"/>
          <w:kern w:val="0"/>
          <w:szCs w:val="21"/>
          <w:highlight w:val="none"/>
          <w:u w:val="single"/>
          <w:lang w:val="en-US" w:eastAsia="zh-CN"/>
        </w:rPr>
        <w:t xml:space="preserve">2  </w:t>
      </w:r>
      <w:r>
        <w:rPr>
          <w:rFonts w:hint="eastAsia" w:ascii="宋体" w:hAnsi="宋体" w:eastAsia="宋体" w:cs="宋体"/>
          <w:color w:val="auto"/>
          <w:kern w:val="0"/>
          <w:szCs w:val="21"/>
          <w:highlight w:val="none"/>
        </w:rPr>
        <w:t>%的安全文明施工内容及费用，如</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人未按约定完成安全文明施工内容或未达到</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人对安全文明施工的要求，</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人有权在过程结算和最终结算中扣除此费用，若</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人自身能力不能满足</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人对安全文明施工的要求时，</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人可以为</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人提供第三方服务，费用按实从</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人结算中扣除。</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 本工程量清单应与招标文件中的投标须知、通用合同条款、专用合同条款、技术标准和要求及图纸等一起阅读和理解。</w:t>
      </w:r>
    </w:p>
    <w:p>
      <w:pPr>
        <w:spacing w:line="360" w:lineRule="auto"/>
        <w:ind w:firstLine="422" w:firstLineChars="200"/>
        <w:outlineLvl w:val="2"/>
        <w:rPr>
          <w:rFonts w:hint="eastAsia" w:ascii="宋体" w:hAnsi="宋体" w:eastAsia="宋体" w:cs="宋体"/>
          <w:b/>
          <w:bCs/>
          <w:color w:val="auto"/>
          <w:szCs w:val="22"/>
          <w:highlight w:val="none"/>
          <w:lang w:eastAsia="zh-CN"/>
        </w:rPr>
      </w:pPr>
      <w:bookmarkStart w:id="128" w:name="_Toc32476"/>
      <w:r>
        <w:rPr>
          <w:rFonts w:hint="eastAsia" w:ascii="宋体" w:hAnsi="宋体" w:eastAsia="宋体" w:cs="宋体"/>
          <w:b/>
          <w:bCs/>
          <w:color w:val="auto"/>
          <w:szCs w:val="22"/>
          <w:highlight w:val="none"/>
        </w:rPr>
        <w:t>二、投标报价说明</w:t>
      </w:r>
      <w:bookmarkEnd w:id="128"/>
    </w:p>
    <w:p>
      <w:pPr>
        <w:outlineLvl w:val="9"/>
        <w:rPr>
          <w:rFonts w:hint="eastAsia" w:ascii="宋体" w:hAnsi="宋体" w:eastAsia="宋体" w:cs="宋体"/>
          <w:color w:val="auto"/>
          <w:highlight w:val="none"/>
          <w:lang w:eastAsia="zh-CN"/>
        </w:rPr>
      </w:pP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2.1本工程投标报价采用工程量清单计价方法。工程量清单计价方法是指投标人按照招标人提供的工程量清单、施工图纸及招标文件规定的报价要求进行报价。</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2.2报价要求：</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2.2.1本工程的投标报价采用工程量清单的方式。投标人须按投标须知及第七章投标文件商务部分格式对投标工程分别报价。</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投标人应按照招标人提供的工程量清单和有关要求，综合考虑各种风险，并应充分考虑工程施工的交叉影响，采用综合单价形式进行工程量清单投标报价。工程量清单报价应为综合单价，除非合同另有规定，投标报价单价均应包括为实施和完成合同工程所需人工、材料、机械、半成品材料运输、成品构件运输、缺陷修复、废弃物处置、管线保护、周边建筑物保护、材料多次搬运、保通、多次进出场费用、配合费</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安全文明施工费、管理费及利润</w:t>
      </w:r>
      <w:r>
        <w:rPr>
          <w:rFonts w:hint="eastAsia" w:ascii="宋体" w:hAnsi="宋体" w:eastAsia="宋体" w:cs="宋体"/>
          <w:color w:val="auto"/>
          <w:kern w:val="0"/>
          <w:szCs w:val="21"/>
          <w:highlight w:val="none"/>
        </w:rPr>
        <w:t>等，并综合考虑各种风险以及合同明示或暗示的所有责任和义务，结算时均以中标单价进行结算。</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2.2.3投标时不得采用总价让利或以百分比让利等形式进行投标报价，同时投标报价不得低于其企业成本价。</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2.2.4编制依据：招标文件（包括书面答疑材料和补充通知）、施工图纸、施工现场条件、企业定额等。</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sectPr>
          <w:pgSz w:w="11905" w:h="16838"/>
          <w:pgMar w:top="1134" w:right="1134" w:bottom="1134" w:left="1134" w:header="850" w:footer="992" w:gutter="567"/>
          <w:pgBorders>
            <w:top w:val="none" w:sz="0" w:space="0"/>
            <w:left w:val="none" w:sz="0" w:space="0"/>
            <w:bottom w:val="none" w:sz="0" w:space="0"/>
            <w:right w:val="none" w:sz="0" w:space="0"/>
          </w:pgBorders>
          <w:pgNumType w:fmt="decimal"/>
          <w:cols w:space="720" w:num="1"/>
          <w:rtlGutter w:val="0"/>
          <w:docGrid w:type="lines" w:linePitch="317" w:charSpace="0"/>
        </w:sectPr>
      </w:pPr>
      <w:r>
        <w:rPr>
          <w:rFonts w:hint="eastAsia" w:ascii="宋体" w:hAnsi="宋体" w:eastAsia="宋体" w:cs="宋体"/>
          <w:color w:val="auto"/>
          <w:kern w:val="0"/>
          <w:szCs w:val="21"/>
          <w:highlight w:val="none"/>
        </w:rPr>
        <w:t>2.2.5中标单位在施工过程中对现有道路、管线、建构筑物、绿化、外装修等已完成品、半成品造成损毁的，应无偿进行修复或承担损失。</w:t>
      </w:r>
    </w:p>
    <w:p>
      <w:pPr>
        <w:spacing w:line="360" w:lineRule="auto"/>
        <w:jc w:val="left"/>
        <w:outlineLvl w:val="1"/>
        <w:rPr>
          <w:rFonts w:hint="eastAsia" w:ascii="宋体" w:hAnsi="宋体" w:eastAsia="宋体" w:cs="宋体"/>
          <w:b/>
          <w:bCs/>
          <w:color w:val="auto"/>
          <w:sz w:val="32"/>
          <w:szCs w:val="32"/>
          <w:highlight w:val="none"/>
        </w:rPr>
      </w:pPr>
      <w:r>
        <w:rPr>
          <w:rFonts w:hint="eastAsia" w:ascii="宋体" w:hAnsi="宋体" w:cs="宋体"/>
          <w:b w:val="0"/>
          <w:bCs w:val="0"/>
          <w:color w:val="auto"/>
          <w:sz w:val="24"/>
          <w:szCs w:val="24"/>
          <w:highlight w:val="none"/>
          <w:lang w:val="en-US" w:eastAsia="zh-CN"/>
        </w:rPr>
        <w:t>附件1</w:t>
      </w:r>
    </w:p>
    <w:tbl>
      <w:tblPr>
        <w:tblStyle w:val="24"/>
        <w:tblW w:w="15909" w:type="dxa"/>
        <w:tblInd w:w="-8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
        <w:gridCol w:w="574"/>
        <w:gridCol w:w="626"/>
        <w:gridCol w:w="730"/>
        <w:gridCol w:w="370"/>
        <w:gridCol w:w="3216"/>
        <w:gridCol w:w="1458"/>
        <w:gridCol w:w="678"/>
        <w:gridCol w:w="699"/>
        <w:gridCol w:w="534"/>
        <w:gridCol w:w="658"/>
        <w:gridCol w:w="510"/>
        <w:gridCol w:w="517"/>
        <w:gridCol w:w="627"/>
        <w:gridCol w:w="884"/>
        <w:gridCol w:w="811"/>
        <w:gridCol w:w="816"/>
        <w:gridCol w:w="940"/>
        <w:gridCol w:w="870"/>
        <w:gridCol w:w="369"/>
        <w:gridCol w:w="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428" w:hRule="atLeast"/>
        </w:trPr>
        <w:tc>
          <w:tcPr>
            <w:tcW w:w="15909" w:type="dxa"/>
            <w:gridSpan w:val="2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4"/>
                <w:szCs w:val="14"/>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招标控制价（拦标价）清单总表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2" w:type="dxa"/>
          <w:trHeight w:val="399" w:hRule="atLeast"/>
        </w:trPr>
        <w:tc>
          <w:tcPr>
            <w:tcW w:w="15898" w:type="dxa"/>
            <w:gridSpan w:val="20"/>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工程名称：绥江县保障性租赁住房建设项目——防水工程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2" w:type="dxa"/>
          <w:trHeight w:val="363"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序号</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标准清单编号/子目号</w:t>
            </w:r>
          </w:p>
        </w:tc>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分项工程名称</w:t>
            </w:r>
          </w:p>
        </w:tc>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单位</w:t>
            </w:r>
          </w:p>
        </w:tc>
        <w:tc>
          <w:tcPr>
            <w:tcW w:w="53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工作内容、材料设备供应及计量规则</w:t>
            </w:r>
          </w:p>
        </w:tc>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工程量      （暂估）</w:t>
            </w:r>
          </w:p>
        </w:tc>
        <w:tc>
          <w:tcPr>
            <w:tcW w:w="28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控制价单价（元）</w:t>
            </w:r>
          </w:p>
        </w:tc>
        <w:tc>
          <w:tcPr>
            <w:tcW w:w="43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控制价合价（元）</w:t>
            </w:r>
          </w:p>
        </w:tc>
        <w:tc>
          <w:tcPr>
            <w:tcW w:w="3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2" w:type="dxa"/>
          <w:trHeight w:val="372"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c>
          <w:tcPr>
            <w:tcW w:w="32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工作内容</w:t>
            </w:r>
          </w:p>
        </w:tc>
        <w:tc>
          <w:tcPr>
            <w:tcW w:w="1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材料设备供应及品牌</w:t>
            </w:r>
          </w:p>
        </w:tc>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计量规则</w:t>
            </w: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不含税</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增值税税率</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含税</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不含税</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增值税税款</w:t>
            </w: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含税</w:t>
            </w:r>
          </w:p>
        </w:tc>
        <w:tc>
          <w:tcPr>
            <w:tcW w:w="3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2" w:type="dxa"/>
          <w:trHeight w:val="674"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c>
          <w:tcPr>
            <w:tcW w:w="3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c>
          <w:tcPr>
            <w:tcW w:w="1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单价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其中人工费单价</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单价</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其中人工费单价</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合价</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其中人工费合价</w:t>
            </w: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合价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其中人工费合价</w:t>
            </w:r>
          </w:p>
        </w:tc>
        <w:tc>
          <w:tcPr>
            <w:tcW w:w="3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2" w:type="dxa"/>
          <w:trHeight w:val="3604"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1</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2mm厚非固化沥青防水涂料</w:t>
            </w:r>
          </w:p>
        </w:tc>
        <w:tc>
          <w:tcPr>
            <w:tcW w:w="3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w:t>
            </w:r>
          </w:p>
        </w:tc>
        <w:tc>
          <w:tcPr>
            <w:tcW w:w="3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1.防水材料品种: 2mm厚非固化沥青防水涂料（上翻至最高完成面500）</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2.部位:地下室顶板（室外道路广场及室外绿化部分）</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3.包括清理基面、调配及涂刷涂料、具体施工按照图纸设计要求，场内材料转运、上下车及搬运、材料堆码、收捡，施工完成后做到工完、料尽、场地清。</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4.防水卷材铺设完后需进行闭水试验，闭水试验完成后需及时将水排出且不影响后续工序</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5.上翻高度并入水平面积计算。</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1、承包人提供材料及品牌：</w:t>
            </w:r>
            <w:r>
              <w:rPr>
                <w:rFonts w:hint="eastAsia" w:ascii="宋体" w:hAnsi="宋体" w:eastAsia="宋体" w:cs="宋体"/>
                <w:i w:val="0"/>
                <w:iCs w:val="0"/>
                <w:color w:val="auto"/>
                <w:kern w:val="0"/>
                <w:sz w:val="13"/>
                <w:szCs w:val="13"/>
                <w:highlight w:val="none"/>
                <w:u w:val="single"/>
                <w:lang w:val="en-US" w:eastAsia="zh-CN" w:bidi="ar"/>
              </w:rPr>
              <w:t>不提供</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承包人提供机械：</w:t>
            </w:r>
            <w:r>
              <w:rPr>
                <w:rFonts w:hint="eastAsia" w:ascii="宋体" w:hAnsi="宋体" w:eastAsia="宋体" w:cs="宋体"/>
                <w:i w:val="0"/>
                <w:iCs w:val="0"/>
                <w:color w:val="auto"/>
                <w:kern w:val="0"/>
                <w:sz w:val="13"/>
                <w:szCs w:val="13"/>
                <w:highlight w:val="none"/>
                <w:u w:val="single"/>
                <w:lang w:val="en-US" w:eastAsia="zh-CN" w:bidi="ar"/>
              </w:rPr>
              <w:t>不提供</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2、分包人提供材料及品牌：</w:t>
            </w:r>
            <w:r>
              <w:rPr>
                <w:rFonts w:hint="eastAsia" w:ascii="宋体" w:hAnsi="宋体" w:eastAsia="宋体" w:cs="宋体"/>
                <w:i w:val="0"/>
                <w:iCs w:val="0"/>
                <w:color w:val="auto"/>
                <w:kern w:val="0"/>
                <w:sz w:val="13"/>
                <w:szCs w:val="13"/>
                <w:highlight w:val="none"/>
                <w:u w:val="single"/>
                <w:lang w:val="en-US" w:eastAsia="zh-CN" w:bidi="ar"/>
              </w:rPr>
              <w:t>2mm厚非固化沥青防水涂料等完成该工序所需的所有材料。</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分包人提供机械：</w:t>
            </w:r>
            <w:r>
              <w:rPr>
                <w:rFonts w:hint="eastAsia" w:ascii="宋体" w:hAnsi="宋体" w:eastAsia="宋体" w:cs="宋体"/>
                <w:i w:val="0"/>
                <w:iCs w:val="0"/>
                <w:color w:val="auto"/>
                <w:kern w:val="0"/>
                <w:sz w:val="13"/>
                <w:szCs w:val="13"/>
                <w:highlight w:val="none"/>
                <w:u w:val="single"/>
                <w:lang w:val="en-US" w:eastAsia="zh-CN" w:bidi="ar"/>
              </w:rPr>
              <w:t>完成该工序所需的机械设备；</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按设计图尺寸以合格品计量以涂刷面积计算</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4497.87</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26.50 </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7.95 </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9%</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28.89</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8.67</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119193.56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35758.07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10727.42 </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129920.97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sz w:val="13"/>
                <w:szCs w:val="13"/>
                <w:highlight w:val="none"/>
                <w:u w:val="none"/>
              </w:rPr>
              <w:t>38976.29</w:t>
            </w:r>
          </w:p>
        </w:tc>
        <w:tc>
          <w:tcPr>
            <w:tcW w:w="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2" w:type="dxa"/>
          <w:trHeight w:val="9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2</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c>
          <w:tcPr>
            <w:tcW w:w="7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4mm厚SBS聚胎脂改性沥青耐根刺防水卷材（Ⅱ型）</w:t>
            </w:r>
          </w:p>
        </w:tc>
        <w:tc>
          <w:tcPr>
            <w:tcW w:w="3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w:t>
            </w:r>
          </w:p>
        </w:tc>
        <w:tc>
          <w:tcPr>
            <w:tcW w:w="3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1.防水材料品种: 4mm厚SBS聚胎脂改性沥青耐根刺防水卷材（Ⅱ）</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2.部位:地下室顶板（室外道路广场及室外绿化部分）</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3.包括清理基面、涂刷冷底子油、铺贴卷材、封边接缝、做附加层、女儿墙、沟等处翻边勒脚处防水卷材需嵌入墙体并用砂浆压实，具体施工按照图纸设计要求，包含场内材料转运、上下车及搬运、材料堆码、收捡施工完成后做到工完、料尽、场地清。</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4.备注:搭接及附加层用量不另行计算，在综合单价中考虑</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5.上翻高度并入水平面积计算。</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6.防水卷材铺设完后需进行闭水试验，闭水试验完成后需及时将水排出且不影响后续工序。</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1、承包人提供材料及品牌：</w:t>
            </w:r>
            <w:r>
              <w:rPr>
                <w:rFonts w:hint="eastAsia" w:ascii="宋体" w:hAnsi="宋体" w:eastAsia="宋体" w:cs="宋体"/>
                <w:i w:val="0"/>
                <w:iCs w:val="0"/>
                <w:color w:val="auto"/>
                <w:kern w:val="0"/>
                <w:sz w:val="13"/>
                <w:szCs w:val="13"/>
                <w:highlight w:val="none"/>
                <w:u w:val="single"/>
                <w:lang w:val="en-US" w:eastAsia="zh-CN" w:bidi="ar"/>
              </w:rPr>
              <w:t>不提供</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承包人提供机械：</w:t>
            </w:r>
            <w:r>
              <w:rPr>
                <w:rFonts w:hint="eastAsia" w:ascii="宋体" w:hAnsi="宋体" w:eastAsia="宋体" w:cs="宋体"/>
                <w:i w:val="0"/>
                <w:iCs w:val="0"/>
                <w:color w:val="auto"/>
                <w:kern w:val="0"/>
                <w:sz w:val="13"/>
                <w:szCs w:val="13"/>
                <w:highlight w:val="none"/>
                <w:u w:val="single"/>
                <w:lang w:val="en-US" w:eastAsia="zh-CN" w:bidi="ar"/>
              </w:rPr>
              <w:t>不提供</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2、分包人提供材料及品牌：</w:t>
            </w:r>
            <w:r>
              <w:rPr>
                <w:rFonts w:hint="eastAsia" w:ascii="宋体" w:hAnsi="宋体" w:eastAsia="宋体" w:cs="宋体"/>
                <w:i w:val="0"/>
                <w:iCs w:val="0"/>
                <w:color w:val="auto"/>
                <w:kern w:val="0"/>
                <w:sz w:val="13"/>
                <w:szCs w:val="13"/>
                <w:highlight w:val="none"/>
                <w:u w:val="single"/>
                <w:lang w:val="en-US" w:eastAsia="zh-CN" w:bidi="ar"/>
              </w:rPr>
              <w:t>4mm厚SBS聚胎脂改性沥青耐根刺防水卷材等完成该工序所需的所有材料。</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分包人提供机械：</w:t>
            </w:r>
            <w:r>
              <w:rPr>
                <w:rFonts w:hint="eastAsia" w:ascii="宋体" w:hAnsi="宋体" w:eastAsia="宋体" w:cs="宋体"/>
                <w:i w:val="0"/>
                <w:iCs w:val="0"/>
                <w:color w:val="auto"/>
                <w:kern w:val="0"/>
                <w:sz w:val="13"/>
                <w:szCs w:val="13"/>
                <w:highlight w:val="none"/>
                <w:u w:val="single"/>
                <w:lang w:val="en-US" w:eastAsia="zh-CN" w:bidi="ar"/>
              </w:rPr>
              <w:t>完成该工序所需的机械设备；</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按设计图纸以实铺面积计算、搭接及附加层用量不另行计算，在综合单价中考虑。</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5043.47 </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50.00 </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15.00 </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9%</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54.5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cs="宋体"/>
                <w:i w:val="0"/>
                <w:iCs w:val="0"/>
                <w:color w:val="auto"/>
                <w:kern w:val="0"/>
                <w:sz w:val="13"/>
                <w:szCs w:val="13"/>
                <w:highlight w:val="none"/>
                <w:u w:val="none"/>
                <w:lang w:val="en-US" w:eastAsia="zh-CN" w:bidi="ar"/>
              </w:rPr>
              <w:t>16.35</w:t>
            </w:r>
            <w:r>
              <w:rPr>
                <w:rFonts w:hint="eastAsia" w:ascii="宋体" w:hAnsi="宋体" w:eastAsia="宋体" w:cs="宋体"/>
                <w:i w:val="0"/>
                <w:iCs w:val="0"/>
                <w:color w:val="auto"/>
                <w:kern w:val="0"/>
                <w:sz w:val="13"/>
                <w:szCs w:val="13"/>
                <w:highlight w:val="none"/>
                <w:u w:val="none"/>
                <w:lang w:val="en-US" w:eastAsia="zh-CN" w:bidi="ar"/>
              </w:rPr>
              <w:t xml:space="preserve"> </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252173.50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75652.05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22695.62 </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274869.12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sz w:val="13"/>
                <w:szCs w:val="13"/>
                <w:highlight w:val="none"/>
                <w:u w:val="none"/>
              </w:rPr>
              <w:t>82460.73</w:t>
            </w:r>
          </w:p>
        </w:tc>
        <w:tc>
          <w:tcPr>
            <w:tcW w:w="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2" w:type="dxa"/>
          <w:trHeight w:val="3751"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3</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c>
          <w:tcPr>
            <w:tcW w:w="7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1.0mm厚JS-聚合物水泥防水涂料（Ⅱ型）防潮层</w:t>
            </w: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w:t>
            </w:r>
          </w:p>
        </w:tc>
        <w:tc>
          <w:tcPr>
            <w:tcW w:w="3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1.防水材料品种:1.0mm厚JS-聚合物水泥防水涂料（Ⅱ型）</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2.部位:地下室各水池顶棚、报警阀间、隔油器间、垃圾房</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3.包括清理基面、清理基层、调配及涂刷涂料、场内材料转运、上下车及搬运、材料堆码、收捡，施工完成后做到工完、料尽、场地清。</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4.防水涂料敷设完后需进行闭水试验，闭水试验完成后需及时将水排出且不影响后续工序。</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1、承包人提供材料：</w:t>
            </w:r>
            <w:r>
              <w:rPr>
                <w:rFonts w:hint="eastAsia" w:ascii="宋体" w:hAnsi="宋体" w:eastAsia="宋体" w:cs="宋体"/>
                <w:i w:val="0"/>
                <w:iCs w:val="0"/>
                <w:color w:val="auto"/>
                <w:kern w:val="0"/>
                <w:sz w:val="13"/>
                <w:szCs w:val="13"/>
                <w:highlight w:val="none"/>
                <w:u w:val="single"/>
                <w:lang w:val="en-US" w:eastAsia="zh-CN" w:bidi="ar"/>
              </w:rPr>
              <w:t>不提供；</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承包人提供机械：</w:t>
            </w:r>
            <w:r>
              <w:rPr>
                <w:rFonts w:hint="eastAsia" w:ascii="宋体" w:hAnsi="宋体" w:eastAsia="宋体" w:cs="宋体"/>
                <w:i w:val="0"/>
                <w:iCs w:val="0"/>
                <w:color w:val="auto"/>
                <w:kern w:val="0"/>
                <w:sz w:val="13"/>
                <w:szCs w:val="13"/>
                <w:highlight w:val="none"/>
                <w:u w:val="single"/>
                <w:lang w:val="en-US" w:eastAsia="zh-CN" w:bidi="ar"/>
              </w:rPr>
              <w:t>不提供；</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2、分包人提供材料及品牌：</w:t>
            </w:r>
            <w:r>
              <w:rPr>
                <w:rFonts w:hint="eastAsia" w:ascii="宋体" w:hAnsi="宋体" w:eastAsia="宋体" w:cs="宋体"/>
                <w:i w:val="0"/>
                <w:iCs w:val="0"/>
                <w:color w:val="auto"/>
                <w:kern w:val="0"/>
                <w:sz w:val="13"/>
                <w:szCs w:val="13"/>
                <w:highlight w:val="none"/>
                <w:u w:val="single"/>
                <w:lang w:val="en-US" w:eastAsia="zh-CN" w:bidi="ar"/>
              </w:rPr>
              <w:t>1.0mm厚JS-聚合物水泥防水涂料（Ⅱ型）等完成该工序所需的所有材料</w:t>
            </w:r>
            <w:r>
              <w:rPr>
                <w:rFonts w:hint="eastAsia" w:ascii="宋体" w:hAnsi="宋体" w:eastAsia="宋体" w:cs="宋体"/>
                <w:i w:val="0"/>
                <w:iCs w:val="0"/>
                <w:color w:val="auto"/>
                <w:kern w:val="0"/>
                <w:sz w:val="13"/>
                <w:szCs w:val="13"/>
                <w:highlight w:val="none"/>
                <w:u w:val="none"/>
                <w:lang w:val="en-US" w:eastAsia="zh-CN" w:bidi="ar"/>
              </w:rPr>
              <w:t xml:space="preserve">，  </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分包人提供机械：</w:t>
            </w:r>
            <w:r>
              <w:rPr>
                <w:rFonts w:hint="eastAsia" w:ascii="宋体" w:hAnsi="宋体" w:eastAsia="宋体" w:cs="宋体"/>
                <w:i w:val="0"/>
                <w:iCs w:val="0"/>
                <w:color w:val="auto"/>
                <w:kern w:val="0"/>
                <w:sz w:val="13"/>
                <w:szCs w:val="13"/>
                <w:highlight w:val="none"/>
                <w:u w:val="single"/>
                <w:lang w:val="en-US" w:eastAsia="zh-CN" w:bidi="ar"/>
              </w:rPr>
              <w:t xml:space="preserve">完成该工序所需的机械设备；  </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按设计图示尺寸合格品计量以涂刷面积计算</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803.08 </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20.50 </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6.15 </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9%</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22.345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3"/>
                <w:szCs w:val="13"/>
                <w:highlight w:val="none"/>
                <w:u w:val="none"/>
                <w:lang w:val="en-US"/>
              </w:rPr>
            </w:pPr>
            <w:r>
              <w:rPr>
                <w:rFonts w:hint="eastAsia" w:ascii="宋体" w:hAnsi="宋体" w:cs="宋体"/>
                <w:i w:val="0"/>
                <w:iCs w:val="0"/>
                <w:color w:val="auto"/>
                <w:kern w:val="0"/>
                <w:sz w:val="13"/>
                <w:szCs w:val="13"/>
                <w:highlight w:val="none"/>
                <w:u w:val="none"/>
                <w:lang w:val="en-US" w:eastAsia="zh-CN" w:bidi="ar"/>
              </w:rPr>
              <w:t>6.70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16463.14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4938.94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1481.68 </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17944.82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sz w:val="13"/>
                <w:szCs w:val="13"/>
                <w:highlight w:val="none"/>
                <w:u w:val="none"/>
              </w:rPr>
              <w:t>5383.45</w:t>
            </w:r>
          </w:p>
        </w:tc>
        <w:tc>
          <w:tcPr>
            <w:tcW w:w="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2" w:type="dxa"/>
          <w:trHeight w:val="848"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4</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JZ-ZY-FS-D-010</w:t>
            </w:r>
          </w:p>
        </w:tc>
        <w:tc>
          <w:tcPr>
            <w:tcW w:w="7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涂膜防水（1.2mm聚合物水泥基防水涂料）（Ⅱ型）含保护胶</w:t>
            </w: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w:t>
            </w:r>
          </w:p>
        </w:tc>
        <w:tc>
          <w:tcPr>
            <w:tcW w:w="3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1.防水材料品种:1.2mm厚JS-聚合物水泥防水涂料（Ⅱ）</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2.部位:水井、报警阀间、隔油器间、垃圾房、电井、配电间</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3.包括清理基面、清理基层、调配及涂刷涂料、场内材料转运、上下车及搬运、材料堆码、收捡，施工完成后做到工完、料尽、场地清。</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4.防水涂料敷设完后需进行闭水试验，闭水试验完成后需及时将水排出且不影响后续工序。</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1、承包人提供材料：</w:t>
            </w:r>
            <w:r>
              <w:rPr>
                <w:rFonts w:hint="eastAsia" w:ascii="宋体" w:hAnsi="宋体" w:eastAsia="宋体" w:cs="宋体"/>
                <w:i w:val="0"/>
                <w:iCs w:val="0"/>
                <w:color w:val="auto"/>
                <w:kern w:val="0"/>
                <w:sz w:val="13"/>
                <w:szCs w:val="13"/>
                <w:highlight w:val="none"/>
                <w:u w:val="single"/>
                <w:lang w:val="en-US" w:eastAsia="zh-CN" w:bidi="ar"/>
              </w:rPr>
              <w:t>不提供；</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承包人提供机械：</w:t>
            </w:r>
            <w:r>
              <w:rPr>
                <w:rFonts w:hint="eastAsia" w:ascii="宋体" w:hAnsi="宋体" w:eastAsia="宋体" w:cs="宋体"/>
                <w:i w:val="0"/>
                <w:iCs w:val="0"/>
                <w:color w:val="auto"/>
                <w:kern w:val="0"/>
                <w:sz w:val="13"/>
                <w:szCs w:val="13"/>
                <w:highlight w:val="none"/>
                <w:u w:val="single"/>
                <w:lang w:val="en-US" w:eastAsia="zh-CN" w:bidi="ar"/>
              </w:rPr>
              <w:t>不提供；</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2、分包人提供材料及品牌：</w:t>
            </w:r>
            <w:r>
              <w:rPr>
                <w:rFonts w:hint="eastAsia" w:ascii="宋体" w:hAnsi="宋体" w:eastAsia="宋体" w:cs="宋体"/>
                <w:i w:val="0"/>
                <w:iCs w:val="0"/>
                <w:color w:val="auto"/>
                <w:kern w:val="0"/>
                <w:sz w:val="13"/>
                <w:szCs w:val="13"/>
                <w:highlight w:val="none"/>
                <w:u w:val="single"/>
                <w:lang w:val="en-US" w:eastAsia="zh-CN" w:bidi="ar"/>
              </w:rPr>
              <w:t>1.2mm厚JS-聚合物水泥防水涂料（Ⅱ）等完成该工序所需的所有材料</w:t>
            </w:r>
            <w:r>
              <w:rPr>
                <w:rFonts w:hint="eastAsia" w:ascii="宋体" w:hAnsi="宋体" w:eastAsia="宋体" w:cs="宋体"/>
                <w:i w:val="0"/>
                <w:iCs w:val="0"/>
                <w:color w:val="auto"/>
                <w:kern w:val="0"/>
                <w:sz w:val="13"/>
                <w:szCs w:val="13"/>
                <w:highlight w:val="none"/>
                <w:u w:val="none"/>
                <w:lang w:val="en-US" w:eastAsia="zh-CN" w:bidi="ar"/>
              </w:rPr>
              <w:t>，</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分包人提供机械：</w:t>
            </w:r>
            <w:r>
              <w:rPr>
                <w:rFonts w:hint="eastAsia" w:ascii="宋体" w:hAnsi="宋体" w:eastAsia="宋体" w:cs="宋体"/>
                <w:i w:val="0"/>
                <w:iCs w:val="0"/>
                <w:color w:val="auto"/>
                <w:kern w:val="0"/>
                <w:sz w:val="13"/>
                <w:szCs w:val="13"/>
                <w:highlight w:val="none"/>
                <w:u w:val="single"/>
                <w:lang w:val="en-US" w:eastAsia="zh-CN" w:bidi="ar"/>
              </w:rPr>
              <w:t xml:space="preserve">完成该工序所需的机械设备；  </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按设计图示尺寸合格品计量以涂刷面积计算</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2359.40 </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22.00 </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6.60 </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9%</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23.98</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3"/>
                <w:szCs w:val="13"/>
                <w:highlight w:val="none"/>
                <w:u w:val="none"/>
                <w:lang w:val="en-US"/>
              </w:rPr>
            </w:pPr>
            <w:r>
              <w:rPr>
                <w:rFonts w:hint="eastAsia" w:ascii="宋体" w:hAnsi="宋体" w:cs="宋体"/>
                <w:i w:val="0"/>
                <w:iCs w:val="0"/>
                <w:color w:val="auto"/>
                <w:kern w:val="0"/>
                <w:sz w:val="13"/>
                <w:szCs w:val="13"/>
                <w:highlight w:val="none"/>
                <w:u w:val="none"/>
                <w:lang w:val="en-US" w:eastAsia="zh-CN" w:bidi="ar"/>
              </w:rPr>
              <w:t>7.19</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51906.80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15572.04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4671.61 </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56578.41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sz w:val="13"/>
                <w:szCs w:val="13"/>
                <w:highlight w:val="none"/>
                <w:u w:val="none"/>
              </w:rPr>
              <w:t>16973.52</w:t>
            </w:r>
          </w:p>
        </w:tc>
        <w:tc>
          <w:tcPr>
            <w:tcW w:w="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2" w:type="dxa"/>
          <w:trHeight w:val="3651"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5</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JZ-ZY-FS-D-011</w:t>
            </w:r>
          </w:p>
        </w:tc>
        <w:tc>
          <w:tcPr>
            <w:tcW w:w="7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涂膜防水（1.5mm聚合物水泥基防水涂料）（综合）</w:t>
            </w: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w:t>
            </w:r>
          </w:p>
        </w:tc>
        <w:tc>
          <w:tcPr>
            <w:tcW w:w="3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1.防水材料品种:1.5mm厚JS-聚合物水泥防水涂料（包括但不限于Ⅰ型Ⅱ型）</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2.部位:高层住宅的上人屋面、楼梯间、电梯机房、风机房、住宅一层入户门厅上方、裙楼上方等不上人屋面、厨房、卫生间、裙楼水井等所有需要做该工序部位。</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3.包括清理基面、清理基层、调配及涂刷涂料、场内材料转运、上下车及搬运、材料堆码、收捡，施工完成后做到工完、料尽、场地清。</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4.防水涂料敷设完后需进行闭水试验，闭水试验完成后需及时将水排出且不影响后续工序。</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1、承包人提供材料：</w:t>
            </w:r>
            <w:r>
              <w:rPr>
                <w:rFonts w:hint="eastAsia" w:ascii="宋体" w:hAnsi="宋体" w:eastAsia="宋体" w:cs="宋体"/>
                <w:i w:val="0"/>
                <w:iCs w:val="0"/>
                <w:color w:val="auto"/>
                <w:kern w:val="0"/>
                <w:sz w:val="13"/>
                <w:szCs w:val="13"/>
                <w:highlight w:val="none"/>
                <w:u w:val="single"/>
                <w:lang w:val="en-US" w:eastAsia="zh-CN" w:bidi="ar"/>
              </w:rPr>
              <w:t>不提供；</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承包人提供机械：</w:t>
            </w:r>
            <w:r>
              <w:rPr>
                <w:rFonts w:hint="eastAsia" w:ascii="宋体" w:hAnsi="宋体" w:eastAsia="宋体" w:cs="宋体"/>
                <w:i w:val="0"/>
                <w:iCs w:val="0"/>
                <w:color w:val="auto"/>
                <w:kern w:val="0"/>
                <w:sz w:val="13"/>
                <w:szCs w:val="13"/>
                <w:highlight w:val="none"/>
                <w:u w:val="single"/>
                <w:lang w:val="en-US" w:eastAsia="zh-CN" w:bidi="ar"/>
              </w:rPr>
              <w:t>不提供；</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2、分包人提供材料及品牌：</w:t>
            </w:r>
            <w:r>
              <w:rPr>
                <w:rFonts w:hint="eastAsia" w:ascii="宋体" w:hAnsi="宋体" w:eastAsia="宋体" w:cs="宋体"/>
                <w:i w:val="0"/>
                <w:iCs w:val="0"/>
                <w:color w:val="auto"/>
                <w:kern w:val="0"/>
                <w:sz w:val="13"/>
                <w:szCs w:val="13"/>
                <w:highlight w:val="none"/>
                <w:u w:val="single"/>
                <w:lang w:val="en-US" w:eastAsia="zh-CN" w:bidi="ar"/>
              </w:rPr>
              <w:t>1.5mm厚JS-聚合物水泥防水涂料（Ⅰ型）等完成该工序所需的所有材料，</w:t>
            </w:r>
            <w:r>
              <w:rPr>
                <w:rFonts w:hint="eastAsia" w:ascii="宋体" w:hAnsi="宋体" w:eastAsia="宋体" w:cs="宋体"/>
                <w:i w:val="0"/>
                <w:iCs w:val="0"/>
                <w:color w:val="auto"/>
                <w:kern w:val="0"/>
                <w:sz w:val="13"/>
                <w:szCs w:val="13"/>
                <w:highlight w:val="none"/>
                <w:u w:val="none"/>
                <w:lang w:val="en-US" w:eastAsia="zh-CN" w:bidi="ar"/>
              </w:rPr>
              <w:t xml:space="preserve"> </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分包人提供机械：</w:t>
            </w:r>
            <w:r>
              <w:rPr>
                <w:rFonts w:hint="eastAsia" w:ascii="宋体" w:hAnsi="宋体" w:eastAsia="宋体" w:cs="宋体"/>
                <w:i w:val="0"/>
                <w:iCs w:val="0"/>
                <w:color w:val="auto"/>
                <w:kern w:val="0"/>
                <w:sz w:val="13"/>
                <w:szCs w:val="13"/>
                <w:highlight w:val="none"/>
                <w:u w:val="single"/>
                <w:lang w:val="en-US" w:eastAsia="zh-CN" w:bidi="ar"/>
              </w:rPr>
              <w:t xml:space="preserve">完成该工序所需的机械设备；  </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按设计图示尺寸合格品计量以涂刷面积计算</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23489.99 </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24.00 </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7.20 </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9%</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26.16</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3"/>
                <w:szCs w:val="13"/>
                <w:highlight w:val="none"/>
                <w:u w:val="none"/>
                <w:lang w:val="en-US"/>
              </w:rPr>
            </w:pPr>
            <w:r>
              <w:rPr>
                <w:rFonts w:hint="eastAsia" w:ascii="宋体" w:hAnsi="宋体" w:cs="宋体"/>
                <w:i w:val="0"/>
                <w:iCs w:val="0"/>
                <w:color w:val="auto"/>
                <w:kern w:val="0"/>
                <w:sz w:val="13"/>
                <w:szCs w:val="13"/>
                <w:highlight w:val="none"/>
                <w:u w:val="none"/>
                <w:lang w:val="en-US" w:eastAsia="zh-CN" w:bidi="ar"/>
              </w:rPr>
              <w:t>7.85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563759.76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169127.93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50738.38 </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614498.14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sz w:val="13"/>
                <w:szCs w:val="13"/>
                <w:highlight w:val="none"/>
                <w:u w:val="none"/>
              </w:rPr>
              <w:t>184349.44</w:t>
            </w:r>
          </w:p>
        </w:tc>
        <w:tc>
          <w:tcPr>
            <w:tcW w:w="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2" w:type="dxa"/>
          <w:trHeight w:val="3599"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6</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JZ-ZY-FS-D-014</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1.5mm厚水泥基渗透结晶防水涂料涂刷（两遍）</w:t>
            </w: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w:t>
            </w:r>
          </w:p>
        </w:tc>
        <w:tc>
          <w:tcPr>
            <w:tcW w:w="3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1.防水材料品种:1.5mm厚水泥基渗透结晶防水涂料</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2.部位:地下室各水池内壁</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3.包括清理基面、清理基层、调配及涂刷涂料、场内材料转运、上下车及搬运、材料堆码、收捡，施工完成后做到工完、料尽、场地清。</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4.防水涂料敷设完后需进行闭水试验，闭水试验完成后需及时将水排出且不影响后续工序。</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1、承包人提供材料：</w:t>
            </w:r>
            <w:r>
              <w:rPr>
                <w:rFonts w:hint="eastAsia" w:ascii="宋体" w:hAnsi="宋体" w:eastAsia="宋体" w:cs="宋体"/>
                <w:i w:val="0"/>
                <w:iCs w:val="0"/>
                <w:color w:val="auto"/>
                <w:kern w:val="0"/>
                <w:sz w:val="13"/>
                <w:szCs w:val="13"/>
                <w:highlight w:val="none"/>
                <w:u w:val="single"/>
                <w:lang w:val="en-US" w:eastAsia="zh-CN" w:bidi="ar"/>
              </w:rPr>
              <w:t>水泥；</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承包人提供机械：</w:t>
            </w:r>
            <w:r>
              <w:rPr>
                <w:rFonts w:hint="eastAsia" w:ascii="宋体" w:hAnsi="宋体" w:eastAsia="宋体" w:cs="宋体"/>
                <w:i w:val="0"/>
                <w:iCs w:val="0"/>
                <w:color w:val="auto"/>
                <w:kern w:val="0"/>
                <w:sz w:val="13"/>
                <w:szCs w:val="13"/>
                <w:highlight w:val="none"/>
                <w:u w:val="single"/>
                <w:lang w:val="en-US" w:eastAsia="zh-CN" w:bidi="ar"/>
              </w:rPr>
              <w:t>不提供；</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2、分包人提供材料及品牌：</w:t>
            </w:r>
            <w:r>
              <w:rPr>
                <w:rFonts w:hint="eastAsia" w:ascii="宋体" w:hAnsi="宋体" w:eastAsia="宋体" w:cs="宋体"/>
                <w:i w:val="0"/>
                <w:iCs w:val="0"/>
                <w:color w:val="auto"/>
                <w:kern w:val="0"/>
                <w:sz w:val="13"/>
                <w:szCs w:val="13"/>
                <w:highlight w:val="none"/>
                <w:u w:val="single"/>
                <w:lang w:val="en-US" w:eastAsia="zh-CN" w:bidi="ar"/>
              </w:rPr>
              <w:t>1.5mm厚水泥基渗透结晶防水涂料等完成该工序所需的所有材料，</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分包人提供机械：</w:t>
            </w:r>
            <w:r>
              <w:rPr>
                <w:rFonts w:hint="eastAsia" w:ascii="宋体" w:hAnsi="宋体" w:eastAsia="宋体" w:cs="宋体"/>
                <w:i w:val="0"/>
                <w:iCs w:val="0"/>
                <w:color w:val="auto"/>
                <w:kern w:val="0"/>
                <w:sz w:val="13"/>
                <w:szCs w:val="13"/>
                <w:highlight w:val="none"/>
                <w:u w:val="single"/>
                <w:lang w:val="en-US" w:eastAsia="zh-CN" w:bidi="ar"/>
              </w:rPr>
              <w:t xml:space="preserve">完成该工序所需的机械设备；  </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按设计图示尺寸合格品计量以涂刷面积计算</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278.64 </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20.00 </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6.00 </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9%</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21.8</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3"/>
                <w:szCs w:val="13"/>
                <w:highlight w:val="none"/>
                <w:u w:val="none"/>
                <w:lang w:val="en-US"/>
              </w:rPr>
            </w:pPr>
            <w:r>
              <w:rPr>
                <w:rFonts w:hint="eastAsia" w:ascii="宋体" w:hAnsi="宋体" w:cs="宋体"/>
                <w:i w:val="0"/>
                <w:iCs w:val="0"/>
                <w:color w:val="auto"/>
                <w:kern w:val="0"/>
                <w:sz w:val="13"/>
                <w:szCs w:val="13"/>
                <w:highlight w:val="none"/>
                <w:u w:val="none"/>
                <w:lang w:val="en-US" w:eastAsia="zh-CN" w:bidi="ar"/>
              </w:rPr>
              <w:t>6.54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5572.80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1671.84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501.55 </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6074.35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sz w:val="13"/>
                <w:szCs w:val="13"/>
                <w:highlight w:val="none"/>
                <w:u w:val="none"/>
              </w:rPr>
              <w:t>1822.31</w:t>
            </w:r>
          </w:p>
        </w:tc>
        <w:tc>
          <w:tcPr>
            <w:tcW w:w="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2" w:type="dxa"/>
          <w:trHeight w:val="9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7</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Style w:val="59"/>
                <w:color w:val="auto"/>
                <w:sz w:val="13"/>
                <w:szCs w:val="13"/>
                <w:highlight w:val="none"/>
                <w:lang w:val="en-US" w:eastAsia="zh-CN" w:bidi="ar"/>
              </w:rPr>
              <w:t>无机渗透结晶防水涂料 一道（厚度不小于1mm,用量不小于</w:t>
            </w:r>
            <w:r>
              <w:rPr>
                <w:rStyle w:val="59"/>
                <w:color w:val="auto"/>
                <w:sz w:val="13"/>
                <w:szCs w:val="13"/>
                <w:highlight w:val="none"/>
                <w:lang w:val="en-US" w:eastAsia="zh-CN" w:bidi="ar"/>
              </w:rPr>
              <w:br w:type="textWrapping"/>
            </w:r>
            <w:r>
              <w:rPr>
                <w:rStyle w:val="59"/>
                <w:color w:val="auto"/>
                <w:sz w:val="13"/>
                <w:szCs w:val="13"/>
                <w:highlight w:val="none"/>
                <w:lang w:val="en-US" w:eastAsia="zh-CN" w:bidi="ar"/>
              </w:rPr>
              <w:t>1.5kg/m³）</w:t>
            </w:r>
          </w:p>
        </w:tc>
        <w:tc>
          <w:tcPr>
            <w:tcW w:w="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w:t>
            </w:r>
          </w:p>
        </w:tc>
        <w:tc>
          <w:tcPr>
            <w:tcW w:w="3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1.防水材料品种:无机渗透结晶防水涂料（厚度不小于1mm）</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2.部位:地下室底板</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3.包括清理基面、清理基层、调配及涂刷涂料、场内材料转运、上下车及搬运、材料堆码、收捡，施工完成后做到工完、料尽、场地清。</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4.防水涂料敷设完后需进行闭水试验，闭水试验完成后需及时将水排出且不影响后续工序。</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1、承包人提供材料：</w:t>
            </w:r>
            <w:r>
              <w:rPr>
                <w:rFonts w:hint="eastAsia" w:ascii="宋体" w:hAnsi="宋体" w:eastAsia="宋体" w:cs="宋体"/>
                <w:i w:val="0"/>
                <w:iCs w:val="0"/>
                <w:color w:val="auto"/>
                <w:kern w:val="0"/>
                <w:sz w:val="13"/>
                <w:szCs w:val="13"/>
                <w:highlight w:val="none"/>
                <w:u w:val="single"/>
                <w:lang w:val="en-US" w:eastAsia="zh-CN" w:bidi="ar"/>
              </w:rPr>
              <w:t>不提供</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承包人提供机械：</w:t>
            </w:r>
            <w:r>
              <w:rPr>
                <w:rFonts w:hint="eastAsia" w:ascii="宋体" w:hAnsi="宋体" w:eastAsia="宋体" w:cs="宋体"/>
                <w:i w:val="0"/>
                <w:iCs w:val="0"/>
                <w:color w:val="auto"/>
                <w:kern w:val="0"/>
                <w:sz w:val="13"/>
                <w:szCs w:val="13"/>
                <w:highlight w:val="none"/>
                <w:u w:val="single"/>
                <w:lang w:val="en-US" w:eastAsia="zh-CN" w:bidi="ar"/>
              </w:rPr>
              <w:t>不提供；</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2、分包人提供材料及品牌：</w:t>
            </w:r>
            <w:r>
              <w:rPr>
                <w:rFonts w:hint="eastAsia" w:ascii="宋体" w:hAnsi="宋体" w:eastAsia="宋体" w:cs="宋体"/>
                <w:i w:val="0"/>
                <w:iCs w:val="0"/>
                <w:color w:val="auto"/>
                <w:kern w:val="0"/>
                <w:sz w:val="13"/>
                <w:szCs w:val="13"/>
                <w:highlight w:val="none"/>
                <w:u w:val="single"/>
                <w:lang w:val="en-US" w:eastAsia="zh-CN" w:bidi="ar"/>
              </w:rPr>
              <w:t>无机渗透结晶防水涂料等完成该工序所需的所有材料</w:t>
            </w:r>
            <w:r>
              <w:rPr>
                <w:rFonts w:hint="eastAsia" w:ascii="宋体" w:hAnsi="宋体" w:eastAsia="宋体" w:cs="宋体"/>
                <w:i w:val="0"/>
                <w:iCs w:val="0"/>
                <w:color w:val="auto"/>
                <w:kern w:val="0"/>
                <w:sz w:val="13"/>
                <w:szCs w:val="13"/>
                <w:highlight w:val="none"/>
                <w:u w:val="none"/>
                <w:lang w:val="en-US" w:eastAsia="zh-CN" w:bidi="ar"/>
              </w:rPr>
              <w:t xml:space="preserve">，  </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分包人提供机械：</w:t>
            </w:r>
            <w:r>
              <w:rPr>
                <w:rFonts w:hint="eastAsia" w:ascii="宋体" w:hAnsi="宋体" w:eastAsia="宋体" w:cs="宋体"/>
                <w:i w:val="0"/>
                <w:iCs w:val="0"/>
                <w:color w:val="auto"/>
                <w:kern w:val="0"/>
                <w:sz w:val="13"/>
                <w:szCs w:val="13"/>
                <w:highlight w:val="none"/>
                <w:u w:val="single"/>
                <w:lang w:val="en-US" w:eastAsia="zh-CN" w:bidi="ar"/>
              </w:rPr>
              <w:t xml:space="preserve">完成该工序所需的机械设备；  </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按设计图示尺寸合格品计量以涂刷面积计算</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8534.10 </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23.00 </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6.90 </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9%</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25.07</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3"/>
                <w:szCs w:val="13"/>
                <w:highlight w:val="none"/>
                <w:u w:val="none"/>
                <w:lang w:val="en-US"/>
              </w:rPr>
            </w:pPr>
            <w:r>
              <w:rPr>
                <w:rFonts w:hint="eastAsia" w:ascii="宋体" w:hAnsi="宋体" w:cs="宋体"/>
                <w:i w:val="0"/>
                <w:iCs w:val="0"/>
                <w:color w:val="auto"/>
                <w:kern w:val="0"/>
                <w:sz w:val="13"/>
                <w:szCs w:val="13"/>
                <w:highlight w:val="none"/>
                <w:u w:val="none"/>
                <w:lang w:val="en-US" w:eastAsia="zh-CN" w:bidi="ar"/>
              </w:rPr>
              <w:t>7.52</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196284.30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58885.29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17665.59 </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213949.89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sz w:val="13"/>
                <w:szCs w:val="13"/>
                <w:highlight w:val="none"/>
                <w:u w:val="none"/>
              </w:rPr>
              <w:t>64184.97</w:t>
            </w:r>
          </w:p>
        </w:tc>
        <w:tc>
          <w:tcPr>
            <w:tcW w:w="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2" w:type="dxa"/>
          <w:trHeight w:val="3833"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8</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1.5mm厚单面自粘高分子防水卷材防水层</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w:t>
            </w:r>
          </w:p>
        </w:tc>
        <w:tc>
          <w:tcPr>
            <w:tcW w:w="3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1.防水材料品种: 1.5mm厚单面自粘高分子防水卷材</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2..部位:商业部分不上人屋面</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3.包含清理基层、铺卷材、钉压条、射钉上嵌密封膏收头、找平层嵌缝、刷聚氨酯涂膜附加层。用掺胶水泥浆贴卷材、聚氨酯胶接缝搭接、场内材料转运、上下车及搬运、材料堆码、收捡，施工完成后做到工完、料尽、场地清。</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4.备注:搭接及附加层用量不另行计算，在综合单价中考虑</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5.上翻高度并入水平面积计算。</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6.防水卷材铺设完后需进行闭水试验，闭水试验完成后需及时将水排出且不影响后续工序。</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1、承包人提供材料：</w:t>
            </w:r>
            <w:r>
              <w:rPr>
                <w:rFonts w:hint="eastAsia" w:ascii="宋体" w:hAnsi="宋体" w:eastAsia="宋体" w:cs="宋体"/>
                <w:i w:val="0"/>
                <w:iCs w:val="0"/>
                <w:color w:val="auto"/>
                <w:kern w:val="0"/>
                <w:sz w:val="13"/>
                <w:szCs w:val="13"/>
                <w:highlight w:val="none"/>
                <w:u w:val="single"/>
                <w:lang w:val="en-US" w:eastAsia="zh-CN" w:bidi="ar"/>
              </w:rPr>
              <w:t>不提供</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承包人提供机械：</w:t>
            </w:r>
            <w:r>
              <w:rPr>
                <w:rFonts w:hint="eastAsia" w:ascii="宋体" w:hAnsi="宋体" w:eastAsia="宋体" w:cs="宋体"/>
                <w:i w:val="0"/>
                <w:iCs w:val="0"/>
                <w:color w:val="auto"/>
                <w:kern w:val="0"/>
                <w:sz w:val="13"/>
                <w:szCs w:val="13"/>
                <w:highlight w:val="none"/>
                <w:u w:val="single"/>
                <w:lang w:val="en-US" w:eastAsia="zh-CN" w:bidi="ar"/>
              </w:rPr>
              <w:t>不提供</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2、分包人提供材料及品牌：</w:t>
            </w:r>
            <w:r>
              <w:rPr>
                <w:rFonts w:hint="eastAsia" w:ascii="宋体" w:hAnsi="宋体" w:eastAsia="宋体" w:cs="宋体"/>
                <w:i w:val="0"/>
                <w:iCs w:val="0"/>
                <w:color w:val="auto"/>
                <w:kern w:val="0"/>
                <w:sz w:val="13"/>
                <w:szCs w:val="13"/>
                <w:highlight w:val="none"/>
                <w:u w:val="single"/>
                <w:lang w:val="en-US" w:eastAsia="zh-CN" w:bidi="ar"/>
              </w:rPr>
              <w:t xml:space="preserve"> 1.5mm厚单面自粘高分子防水卷材等完成该工序所需的所有材料，</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 xml:space="preserve">分包人提供机械： </w:t>
            </w:r>
            <w:r>
              <w:rPr>
                <w:rFonts w:hint="eastAsia" w:ascii="宋体" w:hAnsi="宋体" w:eastAsia="宋体" w:cs="宋体"/>
                <w:i w:val="0"/>
                <w:iCs w:val="0"/>
                <w:color w:val="auto"/>
                <w:kern w:val="0"/>
                <w:sz w:val="13"/>
                <w:szCs w:val="13"/>
                <w:highlight w:val="none"/>
                <w:u w:val="single"/>
                <w:lang w:val="en-US" w:eastAsia="zh-CN" w:bidi="ar"/>
              </w:rPr>
              <w:t xml:space="preserve">完成该工序所需的机械设备  </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按图纸以实铺面积计算、搭接及附加层用量不另行计算，在综合单价中考虑。</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3871.95 </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26.00 </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7.80 </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9%</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28.34</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3"/>
                <w:szCs w:val="13"/>
                <w:highlight w:val="none"/>
                <w:u w:val="none"/>
                <w:lang w:val="en-US"/>
              </w:rPr>
            </w:pPr>
            <w:r>
              <w:rPr>
                <w:rFonts w:hint="eastAsia" w:ascii="宋体" w:hAnsi="宋体" w:cs="宋体"/>
                <w:i w:val="0"/>
                <w:iCs w:val="0"/>
                <w:color w:val="auto"/>
                <w:kern w:val="0"/>
                <w:sz w:val="13"/>
                <w:szCs w:val="13"/>
                <w:highlight w:val="none"/>
                <w:u w:val="none"/>
                <w:lang w:val="en-US" w:eastAsia="zh-CN" w:bidi="ar"/>
              </w:rPr>
              <w:t>8.50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100670.70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30201.21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9060.36 </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109731.06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sz w:val="13"/>
                <w:szCs w:val="13"/>
                <w:highlight w:val="none"/>
                <w:u w:val="none"/>
              </w:rPr>
              <w:t>32919.32</w:t>
            </w:r>
          </w:p>
        </w:tc>
        <w:tc>
          <w:tcPr>
            <w:tcW w:w="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2" w:type="dxa"/>
          <w:trHeight w:val="4198"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9</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1.5mm厚双面自粘高分子防水卷材防水层</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w:t>
            </w:r>
          </w:p>
        </w:tc>
        <w:tc>
          <w:tcPr>
            <w:tcW w:w="3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1.防水材料品种: 1.5mm厚双面自粘高分子防水卷材防水层</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2..部位:地下室侧壁、地下室底板（上翻至最高完成面500）</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3.包含清理基层、铺卷材、钉压条、射钉上嵌密封膏收头、找平层嵌缝、刷聚氨酯涂膜附加层。用掺胶水泥浆贴卷材、聚氨酯胶接缝搭接、场内材料转运、上下车及搬运、材料堆码、收捡，施工完成后做到工完、料尽、场地清。</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4.备注:搭接及附加层用量不另行计算，在综合单价中考虑</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5.上翻高度并入水平面积计算。</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6.防水卷材铺设完后需进行闭水试验，闭水试验完成后需及时将水排出且不影响后续工序。</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1、承包人提供材料：</w:t>
            </w:r>
            <w:r>
              <w:rPr>
                <w:rFonts w:hint="eastAsia" w:ascii="宋体" w:hAnsi="宋体" w:eastAsia="宋体" w:cs="宋体"/>
                <w:i w:val="0"/>
                <w:iCs w:val="0"/>
                <w:color w:val="auto"/>
                <w:kern w:val="0"/>
                <w:sz w:val="13"/>
                <w:szCs w:val="13"/>
                <w:highlight w:val="none"/>
                <w:u w:val="single"/>
                <w:lang w:val="en-US" w:eastAsia="zh-CN" w:bidi="ar"/>
              </w:rPr>
              <w:t>不提供</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承包人提供机械：</w:t>
            </w:r>
            <w:r>
              <w:rPr>
                <w:rFonts w:hint="eastAsia" w:ascii="宋体" w:hAnsi="宋体" w:eastAsia="宋体" w:cs="宋体"/>
                <w:i w:val="0"/>
                <w:iCs w:val="0"/>
                <w:color w:val="auto"/>
                <w:kern w:val="0"/>
                <w:sz w:val="13"/>
                <w:szCs w:val="13"/>
                <w:highlight w:val="none"/>
                <w:u w:val="single"/>
                <w:lang w:val="en-US" w:eastAsia="zh-CN" w:bidi="ar"/>
              </w:rPr>
              <w:t>不提供</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2、分包人提供材料及品牌：</w:t>
            </w:r>
            <w:r>
              <w:rPr>
                <w:rFonts w:hint="eastAsia" w:ascii="宋体" w:hAnsi="宋体" w:eastAsia="宋体" w:cs="宋体"/>
                <w:i w:val="0"/>
                <w:iCs w:val="0"/>
                <w:color w:val="auto"/>
                <w:kern w:val="0"/>
                <w:sz w:val="13"/>
                <w:szCs w:val="13"/>
                <w:highlight w:val="none"/>
                <w:u w:val="single"/>
                <w:lang w:val="en-US" w:eastAsia="zh-CN" w:bidi="ar"/>
              </w:rPr>
              <w:t xml:space="preserve"> 1.5mm厚双面自粘高分子防水卷材层等完成该工序所需的所有材料</w:t>
            </w:r>
            <w:r>
              <w:rPr>
                <w:rFonts w:hint="eastAsia" w:ascii="宋体" w:hAnsi="宋体" w:eastAsia="宋体" w:cs="宋体"/>
                <w:i w:val="0"/>
                <w:iCs w:val="0"/>
                <w:color w:val="auto"/>
                <w:kern w:val="0"/>
                <w:sz w:val="13"/>
                <w:szCs w:val="13"/>
                <w:highlight w:val="none"/>
                <w:u w:val="none"/>
                <w:lang w:val="en-US" w:eastAsia="zh-CN" w:bidi="ar"/>
              </w:rPr>
              <w:t xml:space="preserve">： </w:t>
            </w:r>
            <w:r>
              <w:rPr>
                <w:rFonts w:hint="eastAsia" w:ascii="宋体" w:hAnsi="宋体" w:eastAsia="宋体" w:cs="宋体"/>
                <w:i w:val="0"/>
                <w:iCs w:val="0"/>
                <w:color w:val="auto"/>
                <w:kern w:val="0"/>
                <w:sz w:val="13"/>
                <w:szCs w:val="13"/>
                <w:highlight w:val="none"/>
                <w:u w:val="single"/>
                <w:lang w:val="en-US" w:eastAsia="zh-CN" w:bidi="ar"/>
              </w:rPr>
              <w:t xml:space="preserve">完成该工序所需的机械设备  </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按图纸以实铺面积计算、搭接及附加层用量不另行计算，在综合单价中考虑。</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11571.40 </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26.50 </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7.95 </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9%</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28.885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cs="宋体"/>
                <w:i w:val="0"/>
                <w:iCs w:val="0"/>
                <w:color w:val="auto"/>
                <w:kern w:val="0"/>
                <w:sz w:val="13"/>
                <w:szCs w:val="13"/>
                <w:highlight w:val="none"/>
                <w:u w:val="none"/>
                <w:lang w:val="en-US" w:eastAsia="zh-CN" w:bidi="ar"/>
              </w:rPr>
              <w:t>8.67</w:t>
            </w:r>
            <w:r>
              <w:rPr>
                <w:rFonts w:hint="eastAsia" w:ascii="宋体" w:hAnsi="宋体" w:eastAsia="宋体" w:cs="宋体"/>
                <w:i w:val="0"/>
                <w:iCs w:val="0"/>
                <w:color w:val="auto"/>
                <w:kern w:val="0"/>
                <w:sz w:val="13"/>
                <w:szCs w:val="13"/>
                <w:highlight w:val="none"/>
                <w:u w:val="none"/>
                <w:lang w:val="en-US" w:eastAsia="zh-CN" w:bidi="ar"/>
              </w:rPr>
              <w:t xml:space="preserve"> </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306642.10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91992.63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27597.79 </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334239.89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sz w:val="13"/>
                <w:szCs w:val="13"/>
                <w:highlight w:val="none"/>
                <w:u w:val="none"/>
              </w:rPr>
              <w:t>100271.97</w:t>
            </w:r>
          </w:p>
        </w:tc>
        <w:tc>
          <w:tcPr>
            <w:tcW w:w="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2" w:type="dxa"/>
          <w:trHeight w:val="326"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3"/>
                <w:szCs w:val="13"/>
                <w:highlight w:val="none"/>
                <w:u w:val="none"/>
              </w:rPr>
            </w:pPr>
            <w:r>
              <w:rPr>
                <w:rFonts w:hint="eastAsia" w:ascii="宋体" w:hAnsi="宋体" w:eastAsia="宋体" w:cs="宋体"/>
                <w:b/>
                <w:bCs/>
                <w:i w:val="0"/>
                <w:iCs w:val="0"/>
                <w:color w:val="auto"/>
                <w:kern w:val="0"/>
                <w:sz w:val="13"/>
                <w:szCs w:val="13"/>
                <w:highlight w:val="none"/>
                <w:u w:val="none"/>
                <w:lang w:val="en-US" w:eastAsia="zh-CN" w:bidi="ar"/>
              </w:rPr>
              <w:t>合计：</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3"/>
                <w:szCs w:val="13"/>
                <w:highlight w:val="none"/>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3"/>
                <w:szCs w:val="13"/>
                <w:highlight w:val="none"/>
                <w:u w:val="none"/>
              </w:rPr>
            </w:pP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3"/>
                <w:szCs w:val="13"/>
                <w:highlight w:val="none"/>
                <w:u w:val="none"/>
              </w:rPr>
            </w:pPr>
          </w:p>
        </w:tc>
        <w:tc>
          <w:tcPr>
            <w:tcW w:w="32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3"/>
                <w:szCs w:val="13"/>
                <w:highlight w:val="none"/>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3"/>
                <w:szCs w:val="13"/>
                <w:highlight w:val="none"/>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3"/>
                <w:szCs w:val="13"/>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3"/>
                <w:szCs w:val="13"/>
                <w:highlight w:val="none"/>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3"/>
                <w:szCs w:val="13"/>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3"/>
                <w:szCs w:val="13"/>
                <w:highlight w:val="none"/>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3"/>
                <w:szCs w:val="13"/>
                <w:highlight w:val="none"/>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3"/>
                <w:szCs w:val="13"/>
                <w:highlight w:val="none"/>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3"/>
                <w:szCs w:val="13"/>
                <w:highlight w:val="none"/>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3"/>
                <w:szCs w:val="13"/>
                <w:highlight w:val="none"/>
                <w:u w:val="none"/>
              </w:rPr>
            </w:pPr>
            <w:r>
              <w:rPr>
                <w:rFonts w:hint="eastAsia" w:ascii="宋体" w:hAnsi="宋体" w:eastAsia="宋体" w:cs="宋体"/>
                <w:b/>
                <w:bCs/>
                <w:i w:val="0"/>
                <w:iCs w:val="0"/>
                <w:color w:val="auto"/>
                <w:kern w:val="0"/>
                <w:sz w:val="13"/>
                <w:szCs w:val="13"/>
                <w:highlight w:val="none"/>
                <w:u w:val="none"/>
                <w:lang w:val="en-US" w:eastAsia="zh-CN" w:bidi="ar"/>
              </w:rPr>
              <w:t xml:space="preserve">1612666.66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3"/>
                <w:szCs w:val="13"/>
                <w:highlight w:val="none"/>
                <w:u w:val="none"/>
              </w:rPr>
            </w:pPr>
            <w:r>
              <w:rPr>
                <w:rFonts w:hint="eastAsia" w:ascii="宋体" w:hAnsi="宋体" w:eastAsia="宋体" w:cs="宋体"/>
                <w:b/>
                <w:bCs/>
                <w:i w:val="0"/>
                <w:iCs w:val="0"/>
                <w:color w:val="auto"/>
                <w:kern w:val="0"/>
                <w:sz w:val="13"/>
                <w:szCs w:val="13"/>
                <w:highlight w:val="none"/>
                <w:u w:val="none"/>
                <w:lang w:val="en-US" w:eastAsia="zh-CN" w:bidi="ar"/>
              </w:rPr>
              <w:t xml:space="preserve">483800.00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3"/>
                <w:szCs w:val="13"/>
                <w:highlight w:val="none"/>
                <w:u w:val="none"/>
              </w:rPr>
            </w:pPr>
            <w:r>
              <w:rPr>
                <w:rFonts w:hint="eastAsia" w:ascii="宋体" w:hAnsi="宋体" w:eastAsia="宋体" w:cs="宋体"/>
                <w:b/>
                <w:bCs/>
                <w:i w:val="0"/>
                <w:iCs w:val="0"/>
                <w:color w:val="auto"/>
                <w:kern w:val="0"/>
                <w:sz w:val="13"/>
                <w:szCs w:val="13"/>
                <w:highlight w:val="none"/>
                <w:u w:val="none"/>
                <w:lang w:val="en-US" w:eastAsia="zh-CN" w:bidi="ar"/>
              </w:rPr>
              <w:t xml:space="preserve">145140.00 </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3"/>
                <w:szCs w:val="13"/>
                <w:highlight w:val="none"/>
                <w:u w:val="none"/>
              </w:rPr>
            </w:pPr>
            <w:r>
              <w:rPr>
                <w:rFonts w:hint="eastAsia" w:ascii="宋体" w:hAnsi="宋体" w:eastAsia="宋体" w:cs="宋体"/>
                <w:b/>
                <w:bCs/>
                <w:i w:val="0"/>
                <w:iCs w:val="0"/>
                <w:color w:val="auto"/>
                <w:kern w:val="0"/>
                <w:sz w:val="13"/>
                <w:szCs w:val="13"/>
                <w:highlight w:val="none"/>
                <w:u w:val="none"/>
                <w:lang w:val="en-US" w:eastAsia="zh-CN" w:bidi="ar"/>
              </w:rPr>
              <w:t xml:space="preserve">1757806.65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sz w:val="13"/>
                <w:szCs w:val="13"/>
                <w:highlight w:val="none"/>
                <w:u w:val="none"/>
                <w:lang w:val="en-US" w:eastAsia="zh-CN"/>
              </w:rPr>
            </w:pPr>
            <w:r>
              <w:rPr>
                <w:rFonts w:hint="eastAsia" w:ascii="宋体" w:hAnsi="宋体" w:eastAsia="宋体" w:cs="宋体"/>
                <w:b/>
                <w:bCs/>
                <w:i w:val="0"/>
                <w:iCs w:val="0"/>
                <w:color w:val="auto"/>
                <w:sz w:val="13"/>
                <w:szCs w:val="13"/>
                <w:highlight w:val="none"/>
                <w:u w:val="none"/>
              </w:rPr>
              <w:t>527342</w:t>
            </w:r>
            <w:r>
              <w:rPr>
                <w:rFonts w:hint="eastAsia" w:ascii="宋体" w:hAnsi="宋体" w:cs="宋体"/>
                <w:b/>
                <w:bCs/>
                <w:i w:val="0"/>
                <w:iCs w:val="0"/>
                <w:color w:val="auto"/>
                <w:sz w:val="13"/>
                <w:szCs w:val="13"/>
                <w:highlight w:val="none"/>
                <w:u w:val="none"/>
                <w:lang w:val="en-US" w:eastAsia="zh-CN"/>
              </w:rPr>
              <w:t>.00</w:t>
            </w:r>
          </w:p>
        </w:tc>
        <w:tc>
          <w:tcPr>
            <w:tcW w:w="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2" w:type="dxa"/>
          <w:trHeight w:val="296" w:hRule="atLeast"/>
        </w:trPr>
        <w:tc>
          <w:tcPr>
            <w:tcW w:w="2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合计金额大写（不含税）：</w:t>
            </w:r>
          </w:p>
        </w:tc>
        <w:tc>
          <w:tcPr>
            <w:tcW w:w="1359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壹佰陆拾壹万贰仟陆佰陆拾陆元陆角陆分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2" w:type="dxa"/>
          <w:trHeight w:val="265" w:hRule="atLeast"/>
        </w:trPr>
        <w:tc>
          <w:tcPr>
            <w:tcW w:w="2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合计金额大写（价税合计）：</w:t>
            </w:r>
          </w:p>
        </w:tc>
        <w:tc>
          <w:tcPr>
            <w:tcW w:w="1359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壹佰柒拾伍万柒仟捌佰零陆元陆角伍分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2" w:type="dxa"/>
          <w:trHeight w:val="480" w:hRule="atLeast"/>
        </w:trPr>
        <w:tc>
          <w:tcPr>
            <w:tcW w:w="1589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Style w:val="60"/>
                <w:color w:val="auto"/>
                <w:sz w:val="13"/>
                <w:szCs w:val="13"/>
                <w:highlight w:val="none"/>
                <w:lang w:val="en-US" w:eastAsia="zh-CN" w:bidi="ar"/>
              </w:rPr>
              <w:t>其中：安全生产施工费占合同总金额的</w:t>
            </w:r>
            <w:r>
              <w:rPr>
                <w:rStyle w:val="61"/>
                <w:color w:val="auto"/>
                <w:sz w:val="13"/>
                <w:szCs w:val="13"/>
                <w:highlight w:val="none"/>
                <w:lang w:val="en-US" w:eastAsia="zh-CN" w:bidi="ar"/>
              </w:rPr>
              <w:t xml:space="preserve">  2   </w:t>
            </w:r>
            <w:r>
              <w:rPr>
                <w:rStyle w:val="60"/>
                <w:color w:val="auto"/>
                <w:sz w:val="13"/>
                <w:szCs w:val="13"/>
                <w:highlight w:val="none"/>
                <w:lang w:val="en-US" w:eastAsia="zh-CN" w:bidi="ar"/>
              </w:rPr>
              <w:t>%，含税总额为</w:t>
            </w:r>
            <w:r>
              <w:rPr>
                <w:rStyle w:val="61"/>
                <w:color w:val="auto"/>
                <w:sz w:val="13"/>
                <w:szCs w:val="13"/>
                <w:highlight w:val="none"/>
                <w:lang w:val="en-US" w:eastAsia="zh-CN" w:bidi="ar"/>
              </w:rPr>
              <w:t>35202.33</w:t>
            </w:r>
            <w:r>
              <w:rPr>
                <w:rStyle w:val="60"/>
                <w:color w:val="auto"/>
                <w:sz w:val="13"/>
                <w:szCs w:val="13"/>
                <w:highlight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2" w:type="dxa"/>
          <w:trHeight w:val="480" w:hRule="atLeast"/>
        </w:trPr>
        <w:tc>
          <w:tcPr>
            <w:tcW w:w="1589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备注：上表中数量、合价、合计金额均为暂估</w:t>
            </w:r>
            <w:r>
              <w:rPr>
                <w:rStyle w:val="62"/>
                <w:color w:val="auto"/>
                <w:sz w:val="13"/>
                <w:szCs w:val="13"/>
                <w:highlight w:val="none"/>
                <w:lang w:val="en-US" w:eastAsia="zh-CN" w:bidi="ar"/>
              </w:rPr>
              <w:t>。</w:t>
            </w:r>
          </w:p>
        </w:tc>
      </w:tr>
    </w:tbl>
    <w:p>
      <w:pPr>
        <w:spacing w:line="360" w:lineRule="auto"/>
        <w:jc w:val="left"/>
        <w:outlineLvl w:val="1"/>
        <w:rPr>
          <w:rFonts w:hint="eastAsia" w:ascii="宋体" w:hAnsi="宋体" w:cs="宋体"/>
          <w:b w:val="0"/>
          <w:bCs w:val="0"/>
          <w:color w:val="auto"/>
          <w:sz w:val="24"/>
          <w:szCs w:val="24"/>
          <w:highlight w:val="none"/>
          <w:lang w:val="en-US" w:eastAsia="zh-CN"/>
        </w:rPr>
        <w:sectPr>
          <w:pgSz w:w="16838" w:h="11905" w:orient="landscape"/>
          <w:pgMar w:top="1134" w:right="1134" w:bottom="1134" w:left="1134" w:header="850" w:footer="992" w:gutter="567"/>
          <w:pgBorders>
            <w:top w:val="none" w:sz="0" w:space="0"/>
            <w:left w:val="none" w:sz="0" w:space="0"/>
            <w:bottom w:val="none" w:sz="0" w:space="0"/>
            <w:right w:val="none" w:sz="0" w:space="0"/>
          </w:pgBorders>
          <w:pgNumType w:fmt="decimal"/>
          <w:cols w:space="720" w:num="1"/>
          <w:rtlGutter w:val="0"/>
          <w:docGrid w:type="lines" w:linePitch="317" w:charSpace="0"/>
        </w:sectPr>
      </w:pPr>
    </w:p>
    <w:p>
      <w:pPr>
        <w:spacing w:line="360" w:lineRule="auto"/>
        <w:jc w:val="left"/>
        <w:outlineLvl w:val="1"/>
        <w:rPr>
          <w:rFonts w:hint="eastAsia"/>
          <w:color w:val="auto"/>
          <w:highlight w:val="none"/>
        </w:rPr>
      </w:pPr>
      <w:r>
        <w:rPr>
          <w:rFonts w:hint="eastAsia" w:ascii="宋体" w:hAnsi="宋体" w:cs="宋体"/>
          <w:b w:val="0"/>
          <w:bCs w:val="0"/>
          <w:color w:val="auto"/>
          <w:sz w:val="24"/>
          <w:szCs w:val="24"/>
          <w:highlight w:val="none"/>
          <w:lang w:val="en-US" w:eastAsia="zh-CN"/>
        </w:rPr>
        <w:t>附件2</w:t>
      </w:r>
    </w:p>
    <w:tbl>
      <w:tblPr>
        <w:tblStyle w:val="24"/>
        <w:tblW w:w="16305" w:type="dxa"/>
        <w:tblInd w:w="-8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8"/>
        <w:gridCol w:w="642"/>
        <w:gridCol w:w="748"/>
        <w:gridCol w:w="379"/>
        <w:gridCol w:w="3298"/>
        <w:gridCol w:w="1564"/>
        <w:gridCol w:w="627"/>
        <w:gridCol w:w="717"/>
        <w:gridCol w:w="547"/>
        <w:gridCol w:w="675"/>
        <w:gridCol w:w="523"/>
        <w:gridCol w:w="530"/>
        <w:gridCol w:w="644"/>
        <w:gridCol w:w="906"/>
        <w:gridCol w:w="832"/>
        <w:gridCol w:w="837"/>
        <w:gridCol w:w="964"/>
        <w:gridCol w:w="894"/>
        <w:gridCol w:w="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305" w:type="dxa"/>
            <w:gridSpan w:val="1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default" w:ascii="宋体" w:hAnsi="宋体" w:eastAsia="宋体" w:cs="宋体"/>
                <w:i w:val="0"/>
                <w:iCs w:val="0"/>
                <w:color w:val="auto"/>
                <w:kern w:val="0"/>
                <w:sz w:val="24"/>
                <w:szCs w:val="24"/>
                <w:highlight w:val="none"/>
                <w:u w:val="none"/>
                <w:lang w:val="en-US" w:eastAsia="zh-CN" w:bidi="ar"/>
              </w:rPr>
              <w:t>投标报价工程量清单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 w:hRule="atLeast"/>
        </w:trPr>
        <w:tc>
          <w:tcPr>
            <w:tcW w:w="16305" w:type="dxa"/>
            <w:gridSpan w:val="1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lang w:val="en-US"/>
              </w:rPr>
            </w:pPr>
            <w:r>
              <w:rPr>
                <w:rFonts w:hint="eastAsia" w:ascii="宋体" w:hAnsi="宋体" w:eastAsia="宋体" w:cs="宋体"/>
                <w:i w:val="0"/>
                <w:iCs w:val="0"/>
                <w:color w:val="auto"/>
                <w:kern w:val="0"/>
                <w:sz w:val="13"/>
                <w:szCs w:val="13"/>
                <w:highlight w:val="none"/>
                <w:u w:val="none"/>
                <w:lang w:val="en-US" w:eastAsia="zh-CN" w:bidi="ar"/>
              </w:rPr>
              <w:t>工程名称：绥江县保障性租赁住房建设项目——防水工程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序号</w:t>
            </w:r>
          </w:p>
        </w:tc>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标准清单编号/子目号</w:t>
            </w:r>
          </w:p>
        </w:tc>
        <w:tc>
          <w:tcPr>
            <w:tcW w:w="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分项工程名称</w:t>
            </w:r>
          </w:p>
        </w:tc>
        <w:tc>
          <w:tcPr>
            <w:tcW w:w="3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单位</w:t>
            </w:r>
          </w:p>
        </w:tc>
        <w:tc>
          <w:tcPr>
            <w:tcW w:w="5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工作内容、材料设备供应及计量规则</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工程量      （暂估）</w:t>
            </w:r>
          </w:p>
        </w:tc>
        <w:tc>
          <w:tcPr>
            <w:tcW w:w="29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auto"/>
                <w:highlight w:val="none"/>
              </w:rPr>
            </w:pPr>
            <w:r>
              <w:rPr>
                <w:rFonts w:hint="eastAsia" w:ascii="宋体" w:hAnsi="宋体" w:cs="宋体"/>
                <w:i w:val="0"/>
                <w:iCs w:val="0"/>
                <w:color w:val="auto"/>
                <w:kern w:val="0"/>
                <w:sz w:val="13"/>
                <w:szCs w:val="13"/>
                <w:highlight w:val="none"/>
                <w:u w:val="none"/>
                <w:lang w:val="en-US" w:eastAsia="zh-CN" w:bidi="ar"/>
              </w:rPr>
              <w:t>投标</w:t>
            </w:r>
            <w:r>
              <w:rPr>
                <w:rFonts w:hint="eastAsia" w:ascii="宋体" w:hAnsi="宋体" w:eastAsia="宋体" w:cs="宋体"/>
                <w:i w:val="0"/>
                <w:iCs w:val="0"/>
                <w:color w:val="auto"/>
                <w:kern w:val="0"/>
                <w:sz w:val="13"/>
                <w:szCs w:val="13"/>
                <w:highlight w:val="none"/>
                <w:u w:val="none"/>
                <w:lang w:val="en-US" w:eastAsia="zh-CN" w:bidi="ar"/>
              </w:rPr>
              <w:t>单价（元）</w:t>
            </w:r>
          </w:p>
        </w:tc>
        <w:tc>
          <w:tcPr>
            <w:tcW w:w="44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cs="宋体"/>
                <w:i w:val="0"/>
                <w:iCs w:val="0"/>
                <w:color w:val="auto"/>
                <w:kern w:val="0"/>
                <w:sz w:val="13"/>
                <w:szCs w:val="13"/>
                <w:highlight w:val="none"/>
                <w:u w:val="none"/>
                <w:lang w:val="en-US" w:eastAsia="zh-CN" w:bidi="ar"/>
              </w:rPr>
              <w:t>投标</w:t>
            </w:r>
            <w:r>
              <w:rPr>
                <w:rFonts w:hint="eastAsia" w:ascii="宋体" w:hAnsi="宋体" w:eastAsia="宋体" w:cs="宋体"/>
                <w:i w:val="0"/>
                <w:iCs w:val="0"/>
                <w:color w:val="auto"/>
                <w:kern w:val="0"/>
                <w:sz w:val="13"/>
                <w:szCs w:val="13"/>
                <w:highlight w:val="none"/>
                <w:u w:val="none"/>
                <w:lang w:val="en-US" w:eastAsia="zh-CN" w:bidi="ar"/>
              </w:rPr>
              <w:t>合价（元）</w:t>
            </w:r>
          </w:p>
        </w:tc>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c>
          <w:tcPr>
            <w:tcW w:w="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c>
          <w:tcPr>
            <w:tcW w:w="32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13"/>
                <w:szCs w:val="13"/>
                <w:highlight w:val="none"/>
                <w:u w:val="none"/>
                <w:lang w:val="en-US" w:eastAsia="zh-CN" w:bidi="ar"/>
              </w:rPr>
              <w:t>工作内容</w:t>
            </w:r>
          </w:p>
        </w:tc>
        <w:tc>
          <w:tcPr>
            <w:tcW w:w="1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材料设备供应及品牌</w:t>
            </w:r>
          </w:p>
        </w:tc>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13"/>
                <w:szCs w:val="13"/>
                <w:highlight w:val="none"/>
                <w:u w:val="none"/>
                <w:lang w:val="en-US" w:eastAsia="zh-CN" w:bidi="ar"/>
              </w:rPr>
              <w:t>计量规则</w:t>
            </w: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13"/>
                <w:szCs w:val="13"/>
                <w:highlight w:val="none"/>
                <w:u w:val="none"/>
                <w:lang w:val="en-US" w:eastAsia="zh-CN" w:bidi="ar"/>
              </w:rPr>
              <w:t>不含税</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13"/>
                <w:szCs w:val="13"/>
                <w:highlight w:val="none"/>
                <w:u w:val="none"/>
                <w:lang w:val="en-US" w:eastAsia="zh-CN" w:bidi="ar"/>
              </w:rPr>
              <w:t>增值税税率</w:t>
            </w:r>
          </w:p>
        </w:tc>
        <w:tc>
          <w:tcPr>
            <w:tcW w:w="11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13"/>
                <w:szCs w:val="13"/>
                <w:highlight w:val="none"/>
                <w:u w:val="none"/>
                <w:lang w:val="en-US" w:eastAsia="zh-CN" w:bidi="ar"/>
              </w:rPr>
              <w:t>含税</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不含税</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13"/>
                <w:szCs w:val="13"/>
                <w:highlight w:val="none"/>
                <w:u w:val="none"/>
                <w:lang w:val="en-US" w:eastAsia="zh-CN" w:bidi="ar"/>
              </w:rPr>
              <w:t>增值税税款</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13"/>
                <w:szCs w:val="13"/>
                <w:highlight w:val="none"/>
                <w:u w:val="none"/>
                <w:lang w:val="en-US" w:eastAsia="zh-CN" w:bidi="ar"/>
              </w:rPr>
              <w:t>含税</w:t>
            </w: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c>
          <w:tcPr>
            <w:tcW w:w="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c>
          <w:tcPr>
            <w:tcW w:w="32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highlight w:val="none"/>
              </w:rPr>
            </w:pP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highlight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13"/>
                <w:szCs w:val="13"/>
                <w:highlight w:val="none"/>
                <w:u w:val="none"/>
                <w:lang w:val="en-US" w:eastAsia="zh-CN" w:bidi="ar"/>
              </w:rPr>
              <w:t>单价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13"/>
                <w:szCs w:val="13"/>
                <w:highlight w:val="none"/>
                <w:u w:val="none"/>
                <w:lang w:val="en-US" w:eastAsia="zh-CN" w:bidi="ar"/>
              </w:rPr>
              <w:t>其中人工费单价</w:t>
            </w: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13"/>
                <w:szCs w:val="13"/>
                <w:highlight w:val="none"/>
                <w:u w:val="none"/>
                <w:lang w:val="en-US" w:eastAsia="zh-CN" w:bidi="ar"/>
              </w:rPr>
              <w:t>单价</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其中人工费单价</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13"/>
                <w:szCs w:val="13"/>
                <w:highlight w:val="none"/>
                <w:u w:val="none"/>
                <w:lang w:val="en-US" w:eastAsia="zh-CN" w:bidi="ar"/>
              </w:rPr>
              <w:t>合价</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13"/>
                <w:szCs w:val="13"/>
                <w:highlight w:val="none"/>
                <w:u w:val="none"/>
                <w:lang w:val="en-US" w:eastAsia="zh-CN" w:bidi="ar"/>
              </w:rPr>
              <w:t>其中人工费合价</w:t>
            </w: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highlight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13"/>
                <w:szCs w:val="13"/>
                <w:highlight w:val="none"/>
                <w:u w:val="none"/>
                <w:lang w:val="en-US" w:eastAsia="zh-CN" w:bidi="ar"/>
              </w:rPr>
              <w:t>合价</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其中人工费合价</w:t>
            </w: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2mm厚非固化沥青防水涂料</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1.防水材料品种: 2mm厚非固化沥青防水涂料（上翻至最高完成面500）</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2.部位:地下室顶板（室外道路广场及室外绿化部分）</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3.包括清理基面、调配及涂刷涂料、具体施工按照图纸设计要求，场内材料转运、上下车及搬运、材料堆码、收捡，施工完成后做到工完、料尽、场地清。</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4.防水卷材铺设完后需进行闭水试验，闭水试验完成后需及时将水排出且不影响后续工序</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5.上翻高度并入水平面积计算。</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1、承包人提供材料及品牌：</w:t>
            </w:r>
            <w:r>
              <w:rPr>
                <w:rFonts w:hint="eastAsia" w:ascii="宋体" w:hAnsi="宋体" w:eastAsia="宋体" w:cs="宋体"/>
                <w:i w:val="0"/>
                <w:iCs w:val="0"/>
                <w:color w:val="auto"/>
                <w:kern w:val="0"/>
                <w:sz w:val="13"/>
                <w:szCs w:val="13"/>
                <w:highlight w:val="none"/>
                <w:u w:val="single"/>
                <w:lang w:val="en-US" w:eastAsia="zh-CN" w:bidi="ar"/>
              </w:rPr>
              <w:t>不提供</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承包人提供机械：</w:t>
            </w:r>
            <w:r>
              <w:rPr>
                <w:rFonts w:hint="eastAsia" w:ascii="宋体" w:hAnsi="宋体" w:eastAsia="宋体" w:cs="宋体"/>
                <w:i w:val="0"/>
                <w:iCs w:val="0"/>
                <w:color w:val="auto"/>
                <w:kern w:val="0"/>
                <w:sz w:val="13"/>
                <w:szCs w:val="13"/>
                <w:highlight w:val="none"/>
                <w:u w:val="single"/>
                <w:lang w:val="en-US" w:eastAsia="zh-CN" w:bidi="ar"/>
              </w:rPr>
              <w:t>不提供</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2、分包人提供材料及品牌：</w:t>
            </w:r>
            <w:r>
              <w:rPr>
                <w:rFonts w:hint="eastAsia" w:ascii="宋体" w:hAnsi="宋体" w:eastAsia="宋体" w:cs="宋体"/>
                <w:i w:val="0"/>
                <w:iCs w:val="0"/>
                <w:color w:val="auto"/>
                <w:kern w:val="0"/>
                <w:sz w:val="13"/>
                <w:szCs w:val="13"/>
                <w:highlight w:val="none"/>
                <w:u w:val="single"/>
                <w:lang w:val="en-US" w:eastAsia="zh-CN" w:bidi="ar"/>
              </w:rPr>
              <w:t>2mm厚非固化沥青防水涂料等完成该工序所需的所有材料。</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分包人提供机械：</w:t>
            </w:r>
            <w:r>
              <w:rPr>
                <w:rFonts w:hint="eastAsia" w:ascii="宋体" w:hAnsi="宋体" w:eastAsia="宋体" w:cs="宋体"/>
                <w:i w:val="0"/>
                <w:iCs w:val="0"/>
                <w:color w:val="auto"/>
                <w:kern w:val="0"/>
                <w:sz w:val="13"/>
                <w:szCs w:val="13"/>
                <w:highlight w:val="none"/>
                <w:u w:val="single"/>
                <w:lang w:val="en-US" w:eastAsia="zh-CN" w:bidi="ar"/>
              </w:rPr>
              <w:t>完成该工序所需的机械设备；</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按设计图尺寸以合格品计量以涂刷面积计算</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4497.87</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auto"/>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9%</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auto"/>
                <w:highlight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auto"/>
                <w:highlight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9"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2</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4mm厚SBS聚胎脂改性沥青耐根刺防水卷材（Ⅱ型）</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1.防水材料品种: 4mm厚SBS聚胎脂改性沥青耐根刺防水卷材（Ⅱ）</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2.部位:地下室顶板（室外道路广场及室外绿化部分）</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3.包括清理基面、涂刷冷底子油、铺贴卷材、封边接缝、做附加层、女儿墙、沟等处翻边勒脚处防水卷材需嵌入墙体并用砂浆压实，具体施工按照图纸设计要求，包含场内材料转运、上下车及搬运、材料堆码、收捡施工完成后做到工完、料尽、场地清。</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4.备注:搭接及附加层用量不另行计算，在综合单价中考虑</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5.上翻高度并入水平面积计算。</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6.防水卷材铺设完后需进行闭水试验，闭水试验完成后需及时将水排出且不影响后续工序。</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1、承包人提供材料及品牌：</w:t>
            </w:r>
            <w:r>
              <w:rPr>
                <w:rFonts w:hint="eastAsia" w:ascii="宋体" w:hAnsi="宋体" w:eastAsia="宋体" w:cs="宋体"/>
                <w:i w:val="0"/>
                <w:iCs w:val="0"/>
                <w:color w:val="auto"/>
                <w:kern w:val="0"/>
                <w:sz w:val="13"/>
                <w:szCs w:val="13"/>
                <w:highlight w:val="none"/>
                <w:u w:val="single"/>
                <w:lang w:val="en-US" w:eastAsia="zh-CN" w:bidi="ar"/>
              </w:rPr>
              <w:t>不提供</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承包人提供机械：</w:t>
            </w:r>
            <w:r>
              <w:rPr>
                <w:rFonts w:hint="eastAsia" w:ascii="宋体" w:hAnsi="宋体" w:eastAsia="宋体" w:cs="宋体"/>
                <w:i w:val="0"/>
                <w:iCs w:val="0"/>
                <w:color w:val="auto"/>
                <w:kern w:val="0"/>
                <w:sz w:val="13"/>
                <w:szCs w:val="13"/>
                <w:highlight w:val="none"/>
                <w:u w:val="single"/>
                <w:lang w:val="en-US" w:eastAsia="zh-CN" w:bidi="ar"/>
              </w:rPr>
              <w:t>不提供</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2、分包人提供材料及品牌：</w:t>
            </w:r>
            <w:r>
              <w:rPr>
                <w:rFonts w:hint="eastAsia" w:ascii="宋体" w:hAnsi="宋体" w:eastAsia="宋体" w:cs="宋体"/>
                <w:i w:val="0"/>
                <w:iCs w:val="0"/>
                <w:color w:val="auto"/>
                <w:kern w:val="0"/>
                <w:sz w:val="13"/>
                <w:szCs w:val="13"/>
                <w:highlight w:val="none"/>
                <w:u w:val="single"/>
                <w:lang w:val="en-US" w:eastAsia="zh-CN" w:bidi="ar"/>
              </w:rPr>
              <w:t>4mm厚SBS聚胎脂改性沥青耐根刺防水卷材等完成该工序所需的所有材料。</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分包人提供机械：</w:t>
            </w:r>
            <w:r>
              <w:rPr>
                <w:rFonts w:hint="eastAsia" w:ascii="宋体" w:hAnsi="宋体" w:eastAsia="宋体" w:cs="宋体"/>
                <w:i w:val="0"/>
                <w:iCs w:val="0"/>
                <w:color w:val="auto"/>
                <w:kern w:val="0"/>
                <w:sz w:val="13"/>
                <w:szCs w:val="13"/>
                <w:highlight w:val="none"/>
                <w:u w:val="single"/>
                <w:lang w:val="en-US" w:eastAsia="zh-CN" w:bidi="ar"/>
              </w:rPr>
              <w:t>完成该工序所需的机械设备；</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按设计图纸以实铺面积计算、搭接及附加层用量不另行计算，在综合单价中考虑。</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5043.47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9%</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7"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3</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1"/>
                <w:szCs w:val="11"/>
                <w:highlight w:val="none"/>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1"/>
                <w:szCs w:val="11"/>
                <w:highlight w:val="none"/>
                <w:u w:val="none"/>
              </w:rPr>
            </w:pPr>
            <w:r>
              <w:rPr>
                <w:rFonts w:hint="eastAsia" w:ascii="宋体" w:hAnsi="宋体" w:eastAsia="宋体" w:cs="宋体"/>
                <w:i w:val="0"/>
                <w:iCs w:val="0"/>
                <w:color w:val="auto"/>
                <w:kern w:val="0"/>
                <w:sz w:val="13"/>
                <w:szCs w:val="13"/>
                <w:highlight w:val="none"/>
                <w:u w:val="none"/>
                <w:lang w:val="en-US" w:eastAsia="zh-CN" w:bidi="ar"/>
              </w:rPr>
              <w:t>1.0mm厚JS-聚合物水泥防水涂料（Ⅱ型）防潮层</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1"/>
                <w:szCs w:val="11"/>
                <w:highlight w:val="none"/>
                <w:u w:val="none"/>
              </w:rPr>
            </w:pPr>
            <w:r>
              <w:rPr>
                <w:rFonts w:hint="eastAsia" w:ascii="宋体" w:hAnsi="宋体" w:eastAsia="宋体" w:cs="宋体"/>
                <w:i w:val="0"/>
                <w:iCs w:val="0"/>
                <w:color w:val="auto"/>
                <w:kern w:val="0"/>
                <w:sz w:val="13"/>
                <w:szCs w:val="13"/>
                <w:highlight w:val="none"/>
                <w:u w:val="none"/>
                <w:lang w:val="en-US" w:eastAsia="zh-CN" w:bidi="ar"/>
              </w:rPr>
              <w:t>㎡</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1"/>
                <w:szCs w:val="11"/>
                <w:highlight w:val="none"/>
                <w:u w:val="none"/>
              </w:rPr>
            </w:pPr>
            <w:r>
              <w:rPr>
                <w:rFonts w:hint="eastAsia" w:ascii="宋体" w:hAnsi="宋体" w:eastAsia="宋体" w:cs="宋体"/>
                <w:i w:val="0"/>
                <w:iCs w:val="0"/>
                <w:color w:val="auto"/>
                <w:kern w:val="0"/>
                <w:sz w:val="13"/>
                <w:szCs w:val="13"/>
                <w:highlight w:val="none"/>
                <w:u w:val="none"/>
                <w:lang w:val="en-US" w:eastAsia="zh-CN" w:bidi="ar"/>
              </w:rPr>
              <w:t>1.防水材料品种:1.0mm厚JS-聚合物水泥防水涂料（Ⅱ型）</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2.部位:地下室各水池顶棚、报警阀间、隔油器间、垃圾房</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3.包括清理基面、清理基层、调配及涂刷涂料、场内材料转运、上下车及搬运、材料堆码、收捡，施工完成后做到工完、料尽、场地清。</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4.防水涂料敷设完后需进行闭水试验，闭水试验完成后需及时将水排出且不影响后续工序。</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1"/>
                <w:szCs w:val="11"/>
                <w:highlight w:val="none"/>
                <w:u w:val="none"/>
              </w:rPr>
            </w:pPr>
            <w:r>
              <w:rPr>
                <w:rFonts w:hint="eastAsia" w:ascii="宋体" w:hAnsi="宋体" w:eastAsia="宋体" w:cs="宋体"/>
                <w:i w:val="0"/>
                <w:iCs w:val="0"/>
                <w:color w:val="auto"/>
                <w:kern w:val="0"/>
                <w:sz w:val="13"/>
                <w:szCs w:val="13"/>
                <w:highlight w:val="none"/>
                <w:u w:val="none"/>
                <w:lang w:val="en-US" w:eastAsia="zh-CN" w:bidi="ar"/>
              </w:rPr>
              <w:t>1、承包人提供材料：</w:t>
            </w:r>
            <w:r>
              <w:rPr>
                <w:rFonts w:hint="eastAsia" w:ascii="宋体" w:hAnsi="宋体" w:eastAsia="宋体" w:cs="宋体"/>
                <w:i w:val="0"/>
                <w:iCs w:val="0"/>
                <w:color w:val="auto"/>
                <w:kern w:val="0"/>
                <w:sz w:val="13"/>
                <w:szCs w:val="13"/>
                <w:highlight w:val="none"/>
                <w:u w:val="single"/>
                <w:lang w:val="en-US" w:eastAsia="zh-CN" w:bidi="ar"/>
              </w:rPr>
              <w:t>不提供；</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承包人提供机械：</w:t>
            </w:r>
            <w:r>
              <w:rPr>
                <w:rFonts w:hint="eastAsia" w:ascii="宋体" w:hAnsi="宋体" w:eastAsia="宋体" w:cs="宋体"/>
                <w:i w:val="0"/>
                <w:iCs w:val="0"/>
                <w:color w:val="auto"/>
                <w:kern w:val="0"/>
                <w:sz w:val="13"/>
                <w:szCs w:val="13"/>
                <w:highlight w:val="none"/>
                <w:u w:val="single"/>
                <w:lang w:val="en-US" w:eastAsia="zh-CN" w:bidi="ar"/>
              </w:rPr>
              <w:t>不提供；</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2、分包人提供材料及品牌：</w:t>
            </w:r>
            <w:r>
              <w:rPr>
                <w:rFonts w:hint="eastAsia" w:ascii="宋体" w:hAnsi="宋体" w:eastAsia="宋体" w:cs="宋体"/>
                <w:i w:val="0"/>
                <w:iCs w:val="0"/>
                <w:color w:val="auto"/>
                <w:kern w:val="0"/>
                <w:sz w:val="13"/>
                <w:szCs w:val="13"/>
                <w:highlight w:val="none"/>
                <w:u w:val="single"/>
                <w:lang w:val="en-US" w:eastAsia="zh-CN" w:bidi="ar"/>
              </w:rPr>
              <w:t>1.0mm厚JS-聚合物水泥防水涂料（Ⅱ型）等完成该工序所需的所有材料</w:t>
            </w:r>
            <w:r>
              <w:rPr>
                <w:rFonts w:hint="eastAsia" w:ascii="宋体" w:hAnsi="宋体" w:cs="宋体"/>
                <w:i w:val="0"/>
                <w:iCs w:val="0"/>
                <w:color w:val="auto"/>
                <w:kern w:val="0"/>
                <w:sz w:val="13"/>
                <w:szCs w:val="13"/>
                <w:highlight w:val="none"/>
                <w:u w:val="single"/>
                <w:lang w:val="en-US" w:eastAsia="zh-CN" w:bidi="ar"/>
              </w:rPr>
              <w:t>；</w:t>
            </w:r>
            <w:r>
              <w:rPr>
                <w:rFonts w:hint="eastAsia" w:ascii="宋体" w:hAnsi="宋体" w:eastAsia="宋体" w:cs="宋体"/>
                <w:i w:val="0"/>
                <w:iCs w:val="0"/>
                <w:color w:val="auto"/>
                <w:kern w:val="0"/>
                <w:sz w:val="13"/>
                <w:szCs w:val="13"/>
                <w:highlight w:val="none"/>
                <w:u w:val="none"/>
                <w:lang w:val="en-US" w:eastAsia="zh-CN" w:bidi="ar"/>
              </w:rPr>
              <w:t>分包人提供机械：</w:t>
            </w:r>
            <w:r>
              <w:rPr>
                <w:rFonts w:hint="eastAsia" w:ascii="宋体" w:hAnsi="宋体" w:eastAsia="宋体" w:cs="宋体"/>
                <w:i w:val="0"/>
                <w:iCs w:val="0"/>
                <w:color w:val="auto"/>
                <w:kern w:val="0"/>
                <w:sz w:val="13"/>
                <w:szCs w:val="13"/>
                <w:highlight w:val="none"/>
                <w:u w:val="single"/>
                <w:lang w:val="en-US" w:eastAsia="zh-CN" w:bidi="ar"/>
              </w:rPr>
              <w:t xml:space="preserve">完成该工序所需的机械设备；  </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1"/>
                <w:szCs w:val="11"/>
                <w:highlight w:val="none"/>
                <w:u w:val="none"/>
              </w:rPr>
            </w:pPr>
            <w:r>
              <w:rPr>
                <w:rFonts w:hint="eastAsia" w:ascii="宋体" w:hAnsi="宋体" w:eastAsia="宋体" w:cs="宋体"/>
                <w:i w:val="0"/>
                <w:iCs w:val="0"/>
                <w:color w:val="auto"/>
                <w:kern w:val="0"/>
                <w:sz w:val="13"/>
                <w:szCs w:val="13"/>
                <w:highlight w:val="none"/>
                <w:u w:val="none"/>
                <w:lang w:val="en-US" w:eastAsia="zh-CN" w:bidi="ar"/>
              </w:rPr>
              <w:t>按设计图示尺寸合格品计量以涂刷面积计算</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8"/>
                <w:szCs w:val="8"/>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803.08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3"/>
                <w:szCs w:val="13"/>
                <w:highlight w:val="none"/>
                <w:u w:val="none"/>
                <w:lang w:val="en-US" w:eastAsia="zh-CN" w:bidi="ar"/>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3"/>
                <w:szCs w:val="13"/>
                <w:highlight w:val="none"/>
                <w:u w:val="none"/>
                <w:lang w:val="en-US" w:eastAsia="zh-CN" w:bidi="ar"/>
              </w:rPr>
            </w:pPr>
            <w:r>
              <w:rPr>
                <w:rFonts w:hint="eastAsia" w:ascii="宋体" w:hAnsi="宋体" w:eastAsia="宋体" w:cs="宋体"/>
                <w:i w:val="0"/>
                <w:iCs w:val="0"/>
                <w:color w:val="auto"/>
                <w:kern w:val="0"/>
                <w:sz w:val="13"/>
                <w:szCs w:val="13"/>
                <w:highlight w:val="none"/>
                <w:u w:val="none"/>
                <w:lang w:val="en-US" w:eastAsia="zh-CN" w:bidi="ar"/>
              </w:rPr>
              <w:t>9%</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1"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3"/>
                <w:szCs w:val="13"/>
                <w:highlight w:val="none"/>
                <w:u w:val="none"/>
                <w:lang w:val="en-US" w:eastAsia="zh-CN" w:bidi="ar"/>
              </w:rPr>
              <w:t>4</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JZ-ZY-FS-D-010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涂膜防水（1.2mm聚合物水泥基防水涂料）（Ⅱ型）含保护胶</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1.防水材料品种:1.2mm厚JS-聚合物水泥防水涂料（Ⅱ）</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2.部位:水井、报警阀间、隔油器间、垃圾房、电井、配电间</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3.包括清理基面、清理基层、调配及涂刷涂料、场内材料转运、上下车及搬运、材料堆码、收捡，施工完成后做到工完、料尽、场地清。</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4.防水涂料敷设完后需进行闭水试验，闭水试验完成后需及时将水排出且不影响后续工序。</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1、承包人提供材料：</w:t>
            </w:r>
            <w:r>
              <w:rPr>
                <w:rFonts w:hint="eastAsia" w:ascii="宋体" w:hAnsi="宋体" w:eastAsia="宋体" w:cs="宋体"/>
                <w:i w:val="0"/>
                <w:iCs w:val="0"/>
                <w:color w:val="auto"/>
                <w:kern w:val="0"/>
                <w:sz w:val="13"/>
                <w:szCs w:val="13"/>
                <w:highlight w:val="none"/>
                <w:u w:val="single"/>
                <w:lang w:val="en-US" w:eastAsia="zh-CN" w:bidi="ar"/>
              </w:rPr>
              <w:t>不提供；</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承包人提供机械：</w:t>
            </w:r>
            <w:r>
              <w:rPr>
                <w:rFonts w:hint="eastAsia" w:ascii="宋体" w:hAnsi="宋体" w:eastAsia="宋体" w:cs="宋体"/>
                <w:i w:val="0"/>
                <w:iCs w:val="0"/>
                <w:color w:val="auto"/>
                <w:kern w:val="0"/>
                <w:sz w:val="13"/>
                <w:szCs w:val="13"/>
                <w:highlight w:val="none"/>
                <w:u w:val="single"/>
                <w:lang w:val="en-US" w:eastAsia="zh-CN" w:bidi="ar"/>
              </w:rPr>
              <w:t>不提供；</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2、分包人提供材料及品牌：</w:t>
            </w:r>
            <w:r>
              <w:rPr>
                <w:rFonts w:hint="eastAsia" w:ascii="宋体" w:hAnsi="宋体" w:eastAsia="宋体" w:cs="宋体"/>
                <w:i w:val="0"/>
                <w:iCs w:val="0"/>
                <w:color w:val="auto"/>
                <w:kern w:val="0"/>
                <w:sz w:val="13"/>
                <w:szCs w:val="13"/>
                <w:highlight w:val="none"/>
                <w:u w:val="single"/>
                <w:lang w:val="en-US" w:eastAsia="zh-CN" w:bidi="ar"/>
              </w:rPr>
              <w:t>1.2mm厚JS-聚合物水泥防水涂料（Ⅱ）等完成该工序所需的所有材料</w:t>
            </w:r>
            <w:r>
              <w:rPr>
                <w:rFonts w:hint="eastAsia" w:ascii="宋体" w:hAnsi="宋体" w:eastAsia="宋体" w:cs="宋体"/>
                <w:i w:val="0"/>
                <w:iCs w:val="0"/>
                <w:color w:val="auto"/>
                <w:kern w:val="0"/>
                <w:sz w:val="13"/>
                <w:szCs w:val="13"/>
                <w:highlight w:val="none"/>
                <w:u w:val="none"/>
                <w:lang w:val="en-US" w:eastAsia="zh-CN" w:bidi="ar"/>
              </w:rPr>
              <w:t>，</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分包人提供机械：</w:t>
            </w:r>
            <w:r>
              <w:rPr>
                <w:rFonts w:hint="eastAsia" w:ascii="宋体" w:hAnsi="宋体" w:eastAsia="宋体" w:cs="宋体"/>
                <w:i w:val="0"/>
                <w:iCs w:val="0"/>
                <w:color w:val="auto"/>
                <w:kern w:val="0"/>
                <w:sz w:val="13"/>
                <w:szCs w:val="13"/>
                <w:highlight w:val="none"/>
                <w:u w:val="single"/>
                <w:lang w:val="en-US" w:eastAsia="zh-CN" w:bidi="ar"/>
              </w:rPr>
              <w:t xml:space="preserve">完成该工序所需的机械设备；  </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按设计图示尺寸合格品计量以涂刷面积计算</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0"/>
                <w:szCs w:val="10"/>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2359.40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3"/>
                <w:szCs w:val="13"/>
                <w:highlight w:val="none"/>
                <w:u w:val="none"/>
                <w:lang w:val="en-US" w:eastAsia="zh-CN" w:bidi="ar"/>
              </w:rPr>
              <w:t>9%</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3"/>
                <w:szCs w:val="13"/>
                <w:highlight w:val="none"/>
                <w:u w:val="none"/>
                <w:lang w:val="en-US" w:eastAsia="zh-CN" w:bidi="ar"/>
              </w:rPr>
              <w:t>5</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JZ-ZY-FS-D-011</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涂膜防水（1.5mm聚合物水泥基防水涂料）（综合）</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1.防水材料品种:1.5mm厚JS-聚合物水泥防水涂料（包括但不限于Ⅰ型Ⅱ型）</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2.部位:高层住宅的上人屋面、楼梯间、电梯机房、风机房、住宅一层入户门厅上方、裙楼上方等不上人屋面、厨房、卫生间、裙楼水井等所有需要做该工序部位。</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3.包括清理基面、清理基层、调配及涂刷涂料、场内材料转运、上下车及搬运、材料堆码、收捡，施工完成后做到工完、料尽、场地清。</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4.防水涂料敷设完后需进行闭水试验，闭水试验完成后需及时将水排出且不影响后续工序。</w:t>
            </w:r>
          </w:p>
        </w:tc>
        <w:tc>
          <w:tcPr>
            <w:tcW w:w="156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1、承包人提供材料：</w:t>
            </w:r>
            <w:r>
              <w:rPr>
                <w:rFonts w:hint="eastAsia" w:ascii="宋体" w:hAnsi="宋体" w:eastAsia="宋体" w:cs="宋体"/>
                <w:i w:val="0"/>
                <w:iCs w:val="0"/>
                <w:color w:val="auto"/>
                <w:kern w:val="0"/>
                <w:sz w:val="13"/>
                <w:szCs w:val="13"/>
                <w:highlight w:val="none"/>
                <w:u w:val="single"/>
                <w:lang w:val="en-US" w:eastAsia="zh-CN" w:bidi="ar"/>
              </w:rPr>
              <w:t>不提供；</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承包人提供机械：</w:t>
            </w:r>
            <w:r>
              <w:rPr>
                <w:rFonts w:hint="eastAsia" w:ascii="宋体" w:hAnsi="宋体" w:eastAsia="宋体" w:cs="宋体"/>
                <w:i w:val="0"/>
                <w:iCs w:val="0"/>
                <w:color w:val="auto"/>
                <w:kern w:val="0"/>
                <w:sz w:val="13"/>
                <w:szCs w:val="13"/>
                <w:highlight w:val="none"/>
                <w:u w:val="single"/>
                <w:lang w:val="en-US" w:eastAsia="zh-CN" w:bidi="ar"/>
              </w:rPr>
              <w:t>不提供；</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2、分包人提供材料及品牌：</w:t>
            </w:r>
            <w:r>
              <w:rPr>
                <w:rFonts w:hint="eastAsia" w:ascii="宋体" w:hAnsi="宋体" w:eastAsia="宋体" w:cs="宋体"/>
                <w:i w:val="0"/>
                <w:iCs w:val="0"/>
                <w:color w:val="auto"/>
                <w:kern w:val="0"/>
                <w:sz w:val="13"/>
                <w:szCs w:val="13"/>
                <w:highlight w:val="none"/>
                <w:u w:val="single"/>
                <w:lang w:val="en-US" w:eastAsia="zh-CN" w:bidi="ar"/>
              </w:rPr>
              <w:t>1.5mm厚JS-聚合物水泥防水涂料（Ⅰ型）等完成该工序所需的所有材料，</w:t>
            </w:r>
            <w:r>
              <w:rPr>
                <w:rFonts w:hint="eastAsia" w:ascii="宋体" w:hAnsi="宋体" w:eastAsia="宋体" w:cs="宋体"/>
                <w:i w:val="0"/>
                <w:iCs w:val="0"/>
                <w:color w:val="auto"/>
                <w:kern w:val="0"/>
                <w:sz w:val="13"/>
                <w:szCs w:val="13"/>
                <w:highlight w:val="none"/>
                <w:u w:val="none"/>
                <w:lang w:val="en-US" w:eastAsia="zh-CN" w:bidi="ar"/>
              </w:rPr>
              <w:t xml:space="preserve"> </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分包人提供机械：</w:t>
            </w:r>
            <w:r>
              <w:rPr>
                <w:rFonts w:hint="eastAsia" w:ascii="宋体" w:hAnsi="宋体" w:eastAsia="宋体" w:cs="宋体"/>
                <w:i w:val="0"/>
                <w:iCs w:val="0"/>
                <w:color w:val="auto"/>
                <w:kern w:val="0"/>
                <w:sz w:val="13"/>
                <w:szCs w:val="13"/>
                <w:highlight w:val="none"/>
                <w:u w:val="single"/>
                <w:lang w:val="en-US" w:eastAsia="zh-CN" w:bidi="ar"/>
              </w:rPr>
              <w:t xml:space="preserve">完成该工序所需的机械设备；  </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按设计图示尺寸合格品计量以涂刷面积计算</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0"/>
                <w:szCs w:val="10"/>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23489.99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3"/>
                <w:szCs w:val="13"/>
                <w:highlight w:val="none"/>
                <w:u w:val="none"/>
                <w:lang w:val="en-US" w:eastAsia="zh-CN" w:bidi="ar"/>
              </w:rPr>
              <w:t>9%</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3"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3"/>
                <w:szCs w:val="13"/>
                <w:highlight w:val="none"/>
                <w:u w:val="none"/>
                <w:lang w:val="en-US" w:eastAsia="zh-CN" w:bidi="ar"/>
              </w:rPr>
              <w:t>6</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JZ-ZY-FS-D-014</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1.5mm厚水泥基渗透结晶防水涂料涂刷（两遍）</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1.防水材料品种:1.5mm厚水泥基渗透结晶防水涂料</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2.部位:地下室各水池内壁</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3.包括清理基面、清理基层、调配及涂刷涂料、场内材料转运、上下车及搬运、材料堆码、收捡，施工完成后做到工完、料尽、场地清。</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4.防水涂料敷设完后需进行闭水试验，闭水试验完成后需及时将水排出且不影响后续工序。</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1、承包人提供材料：</w:t>
            </w:r>
            <w:r>
              <w:rPr>
                <w:rFonts w:hint="eastAsia" w:ascii="宋体" w:hAnsi="宋体" w:eastAsia="宋体" w:cs="宋体"/>
                <w:i w:val="0"/>
                <w:iCs w:val="0"/>
                <w:color w:val="auto"/>
                <w:kern w:val="0"/>
                <w:sz w:val="13"/>
                <w:szCs w:val="13"/>
                <w:highlight w:val="none"/>
                <w:u w:val="single"/>
                <w:lang w:val="en-US" w:eastAsia="zh-CN" w:bidi="ar"/>
              </w:rPr>
              <w:t>水泥；</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承包人提供机械：</w:t>
            </w:r>
            <w:r>
              <w:rPr>
                <w:rFonts w:hint="eastAsia" w:ascii="宋体" w:hAnsi="宋体" w:eastAsia="宋体" w:cs="宋体"/>
                <w:i w:val="0"/>
                <w:iCs w:val="0"/>
                <w:color w:val="auto"/>
                <w:kern w:val="0"/>
                <w:sz w:val="13"/>
                <w:szCs w:val="13"/>
                <w:highlight w:val="none"/>
                <w:u w:val="single"/>
                <w:lang w:val="en-US" w:eastAsia="zh-CN" w:bidi="ar"/>
              </w:rPr>
              <w:t>不提供；</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2、分包人提供材料及品牌：</w:t>
            </w:r>
            <w:r>
              <w:rPr>
                <w:rFonts w:hint="eastAsia" w:ascii="宋体" w:hAnsi="宋体" w:eastAsia="宋体" w:cs="宋体"/>
                <w:i w:val="0"/>
                <w:iCs w:val="0"/>
                <w:color w:val="auto"/>
                <w:kern w:val="0"/>
                <w:sz w:val="13"/>
                <w:szCs w:val="13"/>
                <w:highlight w:val="none"/>
                <w:u w:val="single"/>
                <w:lang w:val="en-US" w:eastAsia="zh-CN" w:bidi="ar"/>
              </w:rPr>
              <w:t>1.5mm厚水泥基渗透结晶防水涂料等完成该工序所需的所有材料，</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 xml:space="preserve">分包人提供机械：完成该工序所需的机械设备；  </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按设计图示尺寸合格品计量以涂刷面积计算</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0"/>
                <w:szCs w:val="10"/>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278.64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3"/>
                <w:szCs w:val="13"/>
                <w:highlight w:val="none"/>
                <w:u w:val="none"/>
                <w:lang w:val="en-US" w:eastAsia="zh-CN" w:bidi="ar"/>
              </w:rPr>
              <w:t>9%</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3"/>
                <w:szCs w:val="13"/>
                <w:highlight w:val="none"/>
                <w:u w:val="none"/>
                <w:lang w:val="en-US" w:eastAsia="zh-CN" w:bidi="ar"/>
              </w:rPr>
              <w:t>7</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Style w:val="59"/>
                <w:color w:val="auto"/>
                <w:sz w:val="13"/>
                <w:szCs w:val="13"/>
                <w:highlight w:val="none"/>
                <w:lang w:val="en-US" w:eastAsia="zh-CN" w:bidi="ar"/>
              </w:rPr>
              <w:t>无机渗透结晶防水涂料 一道（厚度不小于1mm,用量不小于</w:t>
            </w:r>
            <w:r>
              <w:rPr>
                <w:rStyle w:val="59"/>
                <w:color w:val="auto"/>
                <w:sz w:val="13"/>
                <w:szCs w:val="13"/>
                <w:highlight w:val="none"/>
                <w:lang w:val="en-US" w:eastAsia="zh-CN" w:bidi="ar"/>
              </w:rPr>
              <w:br w:type="textWrapping"/>
            </w:r>
            <w:r>
              <w:rPr>
                <w:rStyle w:val="59"/>
                <w:color w:val="auto"/>
                <w:sz w:val="13"/>
                <w:szCs w:val="13"/>
                <w:highlight w:val="none"/>
                <w:lang w:val="en-US" w:eastAsia="zh-CN" w:bidi="ar"/>
              </w:rPr>
              <w:t>1.5kg/m³）</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1.防水材料品种:无机渗透结晶防水涂料（厚度不小于1mm）</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2.部位:地下室底板</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3.包括清理基面、清理基层、调配及涂刷涂料、场内材料转运、上下车及搬运、材料堆码、收捡，施工完成后做到工完、料尽、场地清。</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4.防水涂料敷设完后需进行闭水试验，闭水试验完成后需及时将水排出且不影响后续工序。</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1、承包人提供材料：</w:t>
            </w:r>
            <w:r>
              <w:rPr>
                <w:rFonts w:hint="eastAsia" w:ascii="宋体" w:hAnsi="宋体" w:eastAsia="宋体" w:cs="宋体"/>
                <w:i w:val="0"/>
                <w:iCs w:val="0"/>
                <w:color w:val="auto"/>
                <w:kern w:val="0"/>
                <w:sz w:val="13"/>
                <w:szCs w:val="13"/>
                <w:highlight w:val="none"/>
                <w:u w:val="single"/>
                <w:lang w:val="en-US" w:eastAsia="zh-CN" w:bidi="ar"/>
              </w:rPr>
              <w:t>不提供</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承包人提供机械：</w:t>
            </w:r>
            <w:r>
              <w:rPr>
                <w:rFonts w:hint="eastAsia" w:ascii="宋体" w:hAnsi="宋体" w:eastAsia="宋体" w:cs="宋体"/>
                <w:i w:val="0"/>
                <w:iCs w:val="0"/>
                <w:color w:val="auto"/>
                <w:kern w:val="0"/>
                <w:sz w:val="13"/>
                <w:szCs w:val="13"/>
                <w:highlight w:val="none"/>
                <w:u w:val="single"/>
                <w:lang w:val="en-US" w:eastAsia="zh-CN" w:bidi="ar"/>
              </w:rPr>
              <w:t>不提供；</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2、分包人提供材料及品牌：</w:t>
            </w:r>
            <w:r>
              <w:rPr>
                <w:rFonts w:hint="eastAsia" w:ascii="宋体" w:hAnsi="宋体" w:eastAsia="宋体" w:cs="宋体"/>
                <w:i w:val="0"/>
                <w:iCs w:val="0"/>
                <w:color w:val="auto"/>
                <w:kern w:val="0"/>
                <w:sz w:val="13"/>
                <w:szCs w:val="13"/>
                <w:highlight w:val="none"/>
                <w:u w:val="single"/>
                <w:lang w:val="en-US" w:eastAsia="zh-CN" w:bidi="ar"/>
              </w:rPr>
              <w:t>无机渗透结晶防水涂料等完成该工序所需的所有材料</w:t>
            </w:r>
            <w:r>
              <w:rPr>
                <w:rFonts w:hint="eastAsia" w:ascii="宋体" w:hAnsi="宋体" w:eastAsia="宋体" w:cs="宋体"/>
                <w:i w:val="0"/>
                <w:iCs w:val="0"/>
                <w:color w:val="auto"/>
                <w:kern w:val="0"/>
                <w:sz w:val="13"/>
                <w:szCs w:val="13"/>
                <w:highlight w:val="none"/>
                <w:u w:val="none"/>
                <w:lang w:val="en-US" w:eastAsia="zh-CN" w:bidi="ar"/>
              </w:rPr>
              <w:t xml:space="preserve">，  </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分包人提供机械：</w:t>
            </w:r>
            <w:r>
              <w:rPr>
                <w:rFonts w:hint="eastAsia" w:ascii="宋体" w:hAnsi="宋体" w:eastAsia="宋体" w:cs="宋体"/>
                <w:i w:val="0"/>
                <w:iCs w:val="0"/>
                <w:color w:val="auto"/>
                <w:kern w:val="0"/>
                <w:sz w:val="13"/>
                <w:szCs w:val="13"/>
                <w:highlight w:val="none"/>
                <w:u w:val="single"/>
                <w:lang w:val="en-US" w:eastAsia="zh-CN" w:bidi="ar"/>
              </w:rPr>
              <w:t xml:space="preserve">完成该工序所需的机械设备；  </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按设计图示尺寸合格品计量以涂刷面积计算</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0"/>
                <w:szCs w:val="10"/>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8534.10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3"/>
                <w:szCs w:val="13"/>
                <w:highlight w:val="none"/>
                <w:u w:val="none"/>
                <w:lang w:val="en-US" w:eastAsia="zh-CN" w:bidi="ar"/>
              </w:rPr>
              <w:t>9%</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3"/>
                <w:szCs w:val="13"/>
                <w:highlight w:val="none"/>
                <w:u w:val="none"/>
                <w:lang w:val="en-US" w:eastAsia="zh-CN" w:bidi="ar"/>
              </w:rPr>
              <w:t>8</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1.5mm厚单面自粘高分子防水卷材防水层</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1.防水材料品种: 1.5mm厚单面自粘高分子防水卷材</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2..部位:商业部分不上人屋面</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3.包含清理基层、铺卷材、钉压条、射钉上嵌密封膏收头、找平层嵌缝、刷聚氨酯涂膜附加层。用掺胶水泥浆贴卷材、聚氨酯胶接缝搭接、场内材料转运、上下车及搬运、材料堆码、收捡，施工完成后做到工完、料尽、场地清。</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4.备注:搭接及附加层用量不另行计算，在综合单价中考虑</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5.上翻高度并入水平面积计算。</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6.防水卷材铺设完后需进行闭水试验，闭水试验完成后需及时将水排出且不影响后续工序。</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1、承包人提供材料：</w:t>
            </w:r>
            <w:r>
              <w:rPr>
                <w:rFonts w:hint="eastAsia" w:ascii="宋体" w:hAnsi="宋体" w:eastAsia="宋体" w:cs="宋体"/>
                <w:i w:val="0"/>
                <w:iCs w:val="0"/>
                <w:color w:val="auto"/>
                <w:kern w:val="0"/>
                <w:sz w:val="13"/>
                <w:szCs w:val="13"/>
                <w:highlight w:val="none"/>
                <w:u w:val="single"/>
                <w:lang w:val="en-US" w:eastAsia="zh-CN" w:bidi="ar"/>
              </w:rPr>
              <w:t>不提供</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承包人提供机械：</w:t>
            </w:r>
            <w:r>
              <w:rPr>
                <w:rFonts w:hint="eastAsia" w:ascii="宋体" w:hAnsi="宋体" w:eastAsia="宋体" w:cs="宋体"/>
                <w:i w:val="0"/>
                <w:iCs w:val="0"/>
                <w:color w:val="auto"/>
                <w:kern w:val="0"/>
                <w:sz w:val="13"/>
                <w:szCs w:val="13"/>
                <w:highlight w:val="none"/>
                <w:u w:val="single"/>
                <w:lang w:val="en-US" w:eastAsia="zh-CN" w:bidi="ar"/>
              </w:rPr>
              <w:t>不提供</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2、分包人提供材料及品牌：</w:t>
            </w:r>
            <w:r>
              <w:rPr>
                <w:rFonts w:hint="eastAsia" w:ascii="宋体" w:hAnsi="宋体" w:eastAsia="宋体" w:cs="宋体"/>
                <w:i w:val="0"/>
                <w:iCs w:val="0"/>
                <w:color w:val="auto"/>
                <w:kern w:val="0"/>
                <w:sz w:val="13"/>
                <w:szCs w:val="13"/>
                <w:highlight w:val="none"/>
                <w:u w:val="single"/>
                <w:lang w:val="en-US" w:eastAsia="zh-CN" w:bidi="ar"/>
              </w:rPr>
              <w:t xml:space="preserve"> 1.5mm厚单面自粘高分子防水卷材等完成该工序所需的所有材料，</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 xml:space="preserve">分包人提供机械： </w:t>
            </w:r>
            <w:r>
              <w:rPr>
                <w:rFonts w:hint="eastAsia" w:ascii="宋体" w:hAnsi="宋体" w:eastAsia="宋体" w:cs="宋体"/>
                <w:i w:val="0"/>
                <w:iCs w:val="0"/>
                <w:color w:val="auto"/>
                <w:kern w:val="0"/>
                <w:sz w:val="13"/>
                <w:szCs w:val="13"/>
                <w:highlight w:val="none"/>
                <w:u w:val="single"/>
                <w:lang w:val="en-US" w:eastAsia="zh-CN" w:bidi="ar"/>
              </w:rPr>
              <w:t xml:space="preserve">完成该工序所需的机械设备  </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按图纸以实铺面积计算、搭接及附加层用量不另行计算，在综合单价中考虑。</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0"/>
                <w:szCs w:val="10"/>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3871.95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3"/>
                <w:szCs w:val="13"/>
                <w:highlight w:val="none"/>
                <w:u w:val="none"/>
                <w:lang w:val="en-US" w:eastAsia="zh-CN" w:bidi="ar"/>
              </w:rPr>
              <w:t>9%</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7"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3"/>
                <w:szCs w:val="13"/>
                <w:highlight w:val="none"/>
                <w:u w:val="none"/>
                <w:lang w:val="en-US" w:eastAsia="zh-CN" w:bidi="ar"/>
              </w:rPr>
              <w:t>9</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1.5mm厚双面自粘高分子防水卷材防水层</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1.防水材料品种: 1.5mm厚双面自粘高分子防水卷材防水层</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2..部位:地下室侧壁、地下室底板（上翻至最高完成面500）</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3.包含清理基层、铺卷材、钉压条、射钉上嵌密封膏收头、找平层嵌缝、刷聚氨酯涂膜附加层。用掺胶水泥浆贴卷材、聚氨酯胶接缝搭接、场内材料转运、上下车及搬运、材料堆码、收捡，施工完成后做到工完、料尽、场地清。</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4.备注:搭接及附加层用量不另行计算，在综合单价中考虑</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5.上翻高度并入水平面积计算。</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6.防水卷材铺设完后需进行闭水试验，闭水试验完成后需及时将水排出且不影响后续工序。</w:t>
            </w:r>
          </w:p>
        </w:tc>
        <w:tc>
          <w:tcPr>
            <w:tcW w:w="156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1、承包人提供材料：</w:t>
            </w:r>
            <w:r>
              <w:rPr>
                <w:rFonts w:hint="eastAsia" w:ascii="宋体" w:hAnsi="宋体" w:eastAsia="宋体" w:cs="宋体"/>
                <w:i w:val="0"/>
                <w:iCs w:val="0"/>
                <w:color w:val="auto"/>
                <w:kern w:val="0"/>
                <w:sz w:val="13"/>
                <w:szCs w:val="13"/>
                <w:highlight w:val="none"/>
                <w:u w:val="single"/>
                <w:lang w:val="en-US" w:eastAsia="zh-CN" w:bidi="ar"/>
              </w:rPr>
              <w:t>不提供</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承包人提供机械：</w:t>
            </w:r>
            <w:r>
              <w:rPr>
                <w:rFonts w:hint="eastAsia" w:ascii="宋体" w:hAnsi="宋体" w:eastAsia="宋体" w:cs="宋体"/>
                <w:i w:val="0"/>
                <w:iCs w:val="0"/>
                <w:color w:val="auto"/>
                <w:kern w:val="0"/>
                <w:sz w:val="13"/>
                <w:szCs w:val="13"/>
                <w:highlight w:val="none"/>
                <w:u w:val="single"/>
                <w:lang w:val="en-US" w:eastAsia="zh-CN" w:bidi="ar"/>
              </w:rPr>
              <w:t>不提供</w:t>
            </w:r>
            <w:r>
              <w:rPr>
                <w:rFonts w:hint="eastAsia" w:ascii="宋体" w:hAnsi="宋体" w:eastAsia="宋体" w:cs="宋体"/>
                <w:i w:val="0"/>
                <w:iCs w:val="0"/>
                <w:color w:val="auto"/>
                <w:kern w:val="0"/>
                <w:sz w:val="13"/>
                <w:szCs w:val="13"/>
                <w:highlight w:val="none"/>
                <w:u w:val="none"/>
                <w:lang w:val="en-US" w:eastAsia="zh-CN" w:bidi="ar"/>
              </w:rPr>
              <w:br w:type="textWrapping"/>
            </w:r>
            <w:r>
              <w:rPr>
                <w:rFonts w:hint="eastAsia" w:ascii="宋体" w:hAnsi="宋体" w:eastAsia="宋体" w:cs="宋体"/>
                <w:i w:val="0"/>
                <w:iCs w:val="0"/>
                <w:color w:val="auto"/>
                <w:kern w:val="0"/>
                <w:sz w:val="13"/>
                <w:szCs w:val="13"/>
                <w:highlight w:val="none"/>
                <w:u w:val="none"/>
                <w:lang w:val="en-US" w:eastAsia="zh-CN" w:bidi="ar"/>
              </w:rPr>
              <w:t>2、分包人提供材料及品牌：</w:t>
            </w:r>
            <w:r>
              <w:rPr>
                <w:rFonts w:hint="eastAsia" w:ascii="宋体" w:hAnsi="宋体" w:eastAsia="宋体" w:cs="宋体"/>
                <w:i w:val="0"/>
                <w:iCs w:val="0"/>
                <w:color w:val="auto"/>
                <w:kern w:val="0"/>
                <w:sz w:val="13"/>
                <w:szCs w:val="13"/>
                <w:highlight w:val="none"/>
                <w:u w:val="single"/>
                <w:lang w:val="en-US" w:eastAsia="zh-CN" w:bidi="ar"/>
              </w:rPr>
              <w:t xml:space="preserve"> 1.5mm厚双面自粘高分子防水卷材层等完成该工序所需的所有材料</w:t>
            </w:r>
            <w:r>
              <w:rPr>
                <w:rFonts w:hint="eastAsia" w:ascii="宋体" w:hAnsi="宋体" w:eastAsia="宋体" w:cs="宋体"/>
                <w:i w:val="0"/>
                <w:iCs w:val="0"/>
                <w:color w:val="auto"/>
                <w:kern w:val="0"/>
                <w:sz w:val="13"/>
                <w:szCs w:val="13"/>
                <w:highlight w:val="none"/>
                <w:u w:val="none"/>
                <w:lang w:val="en-US" w:eastAsia="zh-CN" w:bidi="ar"/>
              </w:rPr>
              <w:t xml:space="preserve">： </w:t>
            </w:r>
            <w:r>
              <w:rPr>
                <w:rFonts w:hint="eastAsia" w:ascii="宋体" w:hAnsi="宋体" w:eastAsia="宋体" w:cs="宋体"/>
                <w:i w:val="0"/>
                <w:iCs w:val="0"/>
                <w:color w:val="auto"/>
                <w:kern w:val="0"/>
                <w:sz w:val="13"/>
                <w:szCs w:val="13"/>
                <w:highlight w:val="none"/>
                <w:u w:val="single"/>
                <w:lang w:val="en-US" w:eastAsia="zh-CN" w:bidi="ar"/>
              </w:rPr>
              <w:t xml:space="preserve">完成该工序所需的机械设备  </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按图纸以实铺面积计算、搭接及附加层用量不另行计算，在综合单价中考虑。</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0"/>
                <w:szCs w:val="10"/>
                <w:highlight w:val="none"/>
                <w:u w:val="none"/>
              </w:rPr>
            </w:pPr>
            <w:r>
              <w:rPr>
                <w:rFonts w:hint="eastAsia" w:ascii="宋体" w:hAnsi="宋体" w:eastAsia="宋体" w:cs="宋体"/>
                <w:i w:val="0"/>
                <w:iCs w:val="0"/>
                <w:color w:val="auto"/>
                <w:kern w:val="0"/>
                <w:sz w:val="13"/>
                <w:szCs w:val="13"/>
                <w:highlight w:val="none"/>
                <w:u w:val="none"/>
                <w:lang w:val="en-US" w:eastAsia="zh-CN" w:bidi="ar"/>
              </w:rPr>
              <w:t xml:space="preserve">11571.40 </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3"/>
                <w:szCs w:val="13"/>
                <w:highlight w:val="none"/>
                <w:u w:val="none"/>
                <w:lang w:val="en-US" w:eastAsia="zh-CN" w:bidi="ar"/>
              </w:rPr>
              <w:t>9%</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b/>
                <w:bCs/>
                <w:i w:val="0"/>
                <w:iCs w:val="0"/>
                <w:color w:val="auto"/>
                <w:kern w:val="0"/>
                <w:sz w:val="13"/>
                <w:szCs w:val="13"/>
                <w:highlight w:val="none"/>
                <w:u w:val="none"/>
                <w:lang w:val="en-US" w:eastAsia="zh-CN" w:bidi="ar"/>
              </w:rPr>
              <w:t>合计：</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c>
          <w:tcPr>
            <w:tcW w:w="1564"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3"/>
                <w:szCs w:val="13"/>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0"/>
                <w:szCs w:val="10"/>
                <w:highlight w:val="none"/>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5"/>
                <w:szCs w:val="15"/>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5"/>
                <w:szCs w:val="15"/>
                <w:highlight w:val="none"/>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5"/>
                <w:szCs w:val="15"/>
                <w:highlight w:val="none"/>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5"/>
                <w:szCs w:val="15"/>
                <w:highlight w:val="none"/>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5"/>
                <w:szCs w:val="15"/>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highlight w:val="none"/>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3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3"/>
                <w:szCs w:val="13"/>
                <w:highlight w:val="none"/>
                <w:u w:val="none"/>
              </w:rPr>
            </w:pPr>
            <w:r>
              <w:rPr>
                <w:rFonts w:hint="eastAsia" w:ascii="宋体" w:hAnsi="宋体" w:eastAsia="宋体" w:cs="宋体"/>
                <w:i w:val="0"/>
                <w:iCs w:val="0"/>
                <w:color w:val="auto"/>
                <w:kern w:val="0"/>
                <w:sz w:val="13"/>
                <w:szCs w:val="13"/>
                <w:highlight w:val="none"/>
                <w:u w:val="none"/>
                <w:lang w:val="en-US" w:eastAsia="zh-CN" w:bidi="ar"/>
              </w:rPr>
              <w:t>合计金额大写（不含税）：</w:t>
            </w:r>
          </w:p>
        </w:tc>
        <w:tc>
          <w:tcPr>
            <w:tcW w:w="13948"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3"/>
                <w:szCs w:val="13"/>
                <w:highlight w:val="none"/>
                <w:u w:val="none"/>
                <w:lang w:val="en-US" w:eastAsia="zh-CN" w:bidi="ar"/>
              </w:rPr>
            </w:pPr>
            <w:r>
              <w:rPr>
                <w:rFonts w:hint="eastAsia" w:ascii="宋体" w:hAnsi="宋体" w:eastAsia="宋体" w:cs="宋体"/>
                <w:i w:val="0"/>
                <w:iCs w:val="0"/>
                <w:color w:val="auto"/>
                <w:kern w:val="0"/>
                <w:sz w:val="13"/>
                <w:szCs w:val="13"/>
                <w:highlight w:val="none"/>
                <w:u w:val="none"/>
                <w:lang w:val="en-US" w:eastAsia="zh-CN" w:bidi="ar"/>
              </w:rPr>
              <w:t>合计金额大写（价税合计）：</w:t>
            </w:r>
          </w:p>
        </w:tc>
        <w:tc>
          <w:tcPr>
            <w:tcW w:w="13948"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16305"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Style w:val="60"/>
                <w:color w:val="auto"/>
                <w:sz w:val="13"/>
                <w:szCs w:val="13"/>
                <w:highlight w:val="none"/>
                <w:lang w:val="en-US" w:eastAsia="zh-CN" w:bidi="ar"/>
              </w:rPr>
              <w:t>其中：安全生产施工费占合同总金额的</w:t>
            </w:r>
            <w:r>
              <w:rPr>
                <w:rStyle w:val="61"/>
                <w:color w:val="auto"/>
                <w:sz w:val="13"/>
                <w:szCs w:val="13"/>
                <w:highlight w:val="none"/>
                <w:lang w:val="en-US" w:eastAsia="zh-CN" w:bidi="ar"/>
              </w:rPr>
              <w:t xml:space="preserve">  2   </w:t>
            </w:r>
            <w:r>
              <w:rPr>
                <w:rStyle w:val="60"/>
                <w:color w:val="auto"/>
                <w:sz w:val="13"/>
                <w:szCs w:val="13"/>
                <w:highlight w:val="none"/>
                <w:lang w:val="en-US" w:eastAsia="zh-CN" w:bidi="ar"/>
              </w:rPr>
              <w:t>%，含税总额为</w:t>
            </w:r>
            <w:r>
              <w:rPr>
                <w:rStyle w:val="61"/>
                <w:rFonts w:hint="eastAsia"/>
                <w:color w:val="auto"/>
                <w:sz w:val="13"/>
                <w:szCs w:val="13"/>
                <w:highlight w:val="none"/>
                <w:lang w:val="en-US" w:eastAsia="zh-CN" w:bidi="ar"/>
              </w:rPr>
              <w:t xml:space="preserve">         </w:t>
            </w:r>
            <w:r>
              <w:rPr>
                <w:rStyle w:val="60"/>
                <w:color w:val="auto"/>
                <w:sz w:val="13"/>
                <w:szCs w:val="13"/>
                <w:highlight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305"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3"/>
                <w:szCs w:val="13"/>
                <w:highlight w:val="none"/>
                <w:u w:val="none"/>
                <w:lang w:val="en-US" w:eastAsia="zh-CN" w:bidi="ar"/>
              </w:rPr>
              <w:t>备注：上表中数量、合价、合计金额均为暂估</w:t>
            </w:r>
            <w:r>
              <w:rPr>
                <w:rStyle w:val="62"/>
                <w:color w:val="auto"/>
                <w:sz w:val="13"/>
                <w:szCs w:val="13"/>
                <w:highlight w:val="none"/>
                <w:lang w:val="en-US" w:eastAsia="zh-CN" w:bidi="ar"/>
              </w:rPr>
              <w:t>。</w:t>
            </w:r>
          </w:p>
        </w:tc>
      </w:tr>
    </w:tbl>
    <w:p>
      <w:pPr>
        <w:spacing w:line="360" w:lineRule="auto"/>
        <w:jc w:val="center"/>
        <w:outlineLvl w:val="1"/>
        <w:rPr>
          <w:rFonts w:hint="eastAsia" w:ascii="宋体" w:hAnsi="宋体" w:eastAsia="宋体" w:cs="宋体"/>
          <w:b/>
          <w:bCs/>
          <w:color w:val="auto"/>
          <w:kern w:val="44"/>
          <w:sz w:val="32"/>
          <w:szCs w:val="32"/>
          <w:highlight w:val="none"/>
        </w:rPr>
        <w:sectPr>
          <w:footerReference r:id="rId12" w:type="default"/>
          <w:pgSz w:w="16838" w:h="11905" w:orient="landscape"/>
          <w:pgMar w:top="1134" w:right="1134" w:bottom="1134" w:left="1134" w:header="850" w:footer="992" w:gutter="567"/>
          <w:pgBorders>
            <w:top w:val="none" w:sz="0" w:space="0"/>
            <w:left w:val="none" w:sz="0" w:space="0"/>
            <w:bottom w:val="none" w:sz="0" w:space="0"/>
            <w:right w:val="none" w:sz="0" w:space="0"/>
          </w:pgBorders>
          <w:pgNumType w:fmt="decimal"/>
          <w:cols w:space="720" w:num="1"/>
          <w:rtlGutter w:val="0"/>
          <w:docGrid w:type="lines" w:linePitch="317" w:charSpace="0"/>
        </w:sectPr>
      </w:pPr>
      <w:bookmarkStart w:id="129" w:name="_Toc31035"/>
    </w:p>
    <w:p>
      <w:pPr>
        <w:spacing w:line="360" w:lineRule="auto"/>
        <w:jc w:val="center"/>
        <w:outlineLvl w:val="1"/>
        <w:rPr>
          <w:rFonts w:hint="eastAsia" w:ascii="宋体" w:hAnsi="宋体" w:eastAsia="宋体" w:cs="宋体"/>
          <w:b/>
          <w:bCs/>
          <w:color w:val="auto"/>
          <w:kern w:val="44"/>
          <w:sz w:val="32"/>
          <w:szCs w:val="32"/>
          <w:highlight w:val="none"/>
        </w:rPr>
      </w:pPr>
      <w:r>
        <w:rPr>
          <w:rFonts w:hint="eastAsia" w:ascii="宋体" w:hAnsi="宋体" w:eastAsia="宋体" w:cs="宋体"/>
          <w:b/>
          <w:bCs/>
          <w:color w:val="auto"/>
          <w:kern w:val="44"/>
          <w:sz w:val="32"/>
          <w:szCs w:val="32"/>
          <w:highlight w:val="none"/>
        </w:rPr>
        <w:t>第五章  图  纸</w:t>
      </w:r>
      <w:bookmarkEnd w:id="129"/>
    </w:p>
    <w:p>
      <w:pPr>
        <w:spacing w:line="360" w:lineRule="auto"/>
        <w:jc w:val="center"/>
        <w:rPr>
          <w:rFonts w:hint="eastAsia" w:ascii="宋体" w:hAnsi="宋体" w:eastAsia="宋体" w:cs="宋体"/>
          <w:bCs/>
          <w:color w:val="auto"/>
          <w:sz w:val="28"/>
          <w:szCs w:val="28"/>
          <w:highlight w:val="none"/>
        </w:rPr>
      </w:pPr>
    </w:p>
    <w:p>
      <w:pPr>
        <w:spacing w:line="360" w:lineRule="auto"/>
        <w:jc w:val="center"/>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（另册，随招标文件一起提供）</w:t>
      </w:r>
    </w:p>
    <w:p>
      <w:pPr>
        <w:spacing w:line="360" w:lineRule="auto"/>
        <w:jc w:val="center"/>
        <w:outlineLvl w:val="1"/>
        <w:rPr>
          <w:rFonts w:hint="eastAsia" w:ascii="宋体" w:hAnsi="宋体" w:eastAsia="宋体" w:cs="宋体"/>
          <w:b/>
          <w:bCs/>
          <w:color w:val="auto"/>
          <w:kern w:val="44"/>
          <w:sz w:val="32"/>
          <w:szCs w:val="32"/>
          <w:highlight w:val="none"/>
        </w:rPr>
      </w:pPr>
      <w:r>
        <w:rPr>
          <w:rFonts w:hint="eastAsia" w:ascii="宋体" w:hAnsi="宋体" w:eastAsia="宋体" w:cs="宋体"/>
          <w:color w:val="auto"/>
          <w:sz w:val="44"/>
          <w:szCs w:val="44"/>
          <w:highlight w:val="none"/>
        </w:rPr>
        <w:br w:type="page"/>
      </w:r>
      <w:bookmarkStart w:id="130" w:name="_Toc3131"/>
      <w:r>
        <w:rPr>
          <w:rFonts w:hint="eastAsia" w:ascii="宋体" w:hAnsi="宋体" w:eastAsia="宋体" w:cs="宋体"/>
          <w:b/>
          <w:bCs/>
          <w:color w:val="auto"/>
          <w:kern w:val="44"/>
          <w:sz w:val="32"/>
          <w:szCs w:val="32"/>
          <w:highlight w:val="none"/>
        </w:rPr>
        <w:t>第六章  技术标准和要求</w:t>
      </w:r>
      <w:bookmarkEnd w:id="130"/>
    </w:p>
    <w:p>
      <w:pPr>
        <w:tabs>
          <w:tab w:val="left" w:pos="2745"/>
        </w:tabs>
        <w:jc w:val="center"/>
        <w:rPr>
          <w:rFonts w:hint="eastAsia" w:ascii="宋体" w:hAnsi="宋体" w:eastAsia="宋体" w:cs="宋体"/>
          <w:b/>
          <w:color w:val="auto"/>
          <w:kern w:val="0"/>
          <w:sz w:val="24"/>
          <w:szCs w:val="24"/>
          <w:highlight w:val="none"/>
        </w:rPr>
      </w:pPr>
    </w:p>
    <w:p>
      <w:pPr>
        <w:spacing w:line="360" w:lineRule="auto"/>
        <w:jc w:val="center"/>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（技术标准和要求详见图纸及相关说明）</w:t>
      </w:r>
    </w:p>
    <w:p>
      <w:pPr>
        <w:jc w:val="center"/>
        <w:outlineLvl w:val="1"/>
        <w:rPr>
          <w:rFonts w:hint="eastAsia" w:ascii="宋体" w:hAnsi="宋体" w:eastAsia="宋体" w:cs="宋体"/>
          <w:b/>
          <w:bCs/>
          <w:color w:val="auto"/>
          <w:kern w:val="44"/>
          <w:sz w:val="32"/>
          <w:szCs w:val="32"/>
          <w:highlight w:val="none"/>
        </w:rPr>
      </w:pPr>
      <w:r>
        <w:rPr>
          <w:rFonts w:hint="eastAsia" w:ascii="宋体" w:hAnsi="宋体" w:eastAsia="宋体" w:cs="宋体"/>
          <w:color w:val="auto"/>
          <w:szCs w:val="21"/>
          <w:highlight w:val="none"/>
        </w:rPr>
        <w:br w:type="page"/>
      </w:r>
      <w:bookmarkStart w:id="131" w:name="_Toc3544"/>
      <w:r>
        <w:rPr>
          <w:rFonts w:hint="eastAsia" w:ascii="宋体" w:hAnsi="宋体" w:eastAsia="宋体" w:cs="宋体"/>
          <w:b/>
          <w:bCs/>
          <w:color w:val="auto"/>
          <w:kern w:val="44"/>
          <w:sz w:val="32"/>
          <w:szCs w:val="32"/>
          <w:highlight w:val="none"/>
        </w:rPr>
        <w:t>第七章  专业分包投标文件格式</w:t>
      </w:r>
      <w:bookmarkEnd w:id="131"/>
    </w:p>
    <w:p>
      <w:pPr>
        <w:ind w:firstLine="640" w:firstLineChars="200"/>
        <w:rPr>
          <w:rFonts w:hint="eastAsia" w:ascii="宋体" w:hAnsi="宋体" w:eastAsia="宋体" w:cs="宋体"/>
          <w:color w:val="auto"/>
          <w:sz w:val="30"/>
          <w:highlight w:val="none"/>
        </w:rPr>
      </w:pPr>
      <w:r>
        <w:rPr>
          <w:rFonts w:hint="eastAsia" w:ascii="宋体" w:hAnsi="宋体" w:eastAsia="宋体" w:cs="宋体"/>
          <w:color w:val="auto"/>
          <w:sz w:val="32"/>
          <w:szCs w:val="32"/>
          <w:highlight w:val="none"/>
        </w:rPr>
        <w:br w:type="page"/>
      </w:r>
    </w:p>
    <w:p>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附件4.2</w:t>
      </w:r>
    </w:p>
    <w:p>
      <w:pPr>
        <w:autoSpaceDE w:val="0"/>
        <w:autoSpaceDN w:val="0"/>
        <w:adjustRightInd w:val="0"/>
        <w:spacing w:line="520" w:lineRule="exact"/>
        <w:jc w:val="center"/>
        <w:rPr>
          <w:rFonts w:hint="eastAsia" w:ascii="宋体" w:hAnsi="宋体" w:eastAsia="宋体" w:cs="宋体"/>
          <w:b/>
          <w:color w:val="auto"/>
          <w:sz w:val="32"/>
          <w:highlight w:val="none"/>
        </w:rPr>
      </w:pPr>
      <w:r>
        <w:rPr>
          <w:rFonts w:hint="eastAsia" w:ascii="宋体" w:hAnsi="宋体" w:eastAsia="宋体" w:cs="宋体"/>
          <w:color w:val="auto"/>
          <w:sz w:val="32"/>
          <w:szCs w:val="32"/>
          <w:highlight w:val="none"/>
          <w:u w:val="single"/>
        </w:rPr>
        <w:t>绥江县保障性租赁住房建设项目——防水工程</w:t>
      </w:r>
    </w:p>
    <w:p>
      <w:pPr>
        <w:autoSpaceDE w:val="0"/>
        <w:autoSpaceDN w:val="0"/>
        <w:adjustRightInd w:val="0"/>
        <w:spacing w:line="520" w:lineRule="exact"/>
        <w:jc w:val="center"/>
        <w:rPr>
          <w:rFonts w:hint="eastAsia" w:ascii="宋体" w:hAnsi="宋体" w:eastAsia="宋体" w:cs="宋体"/>
          <w:b/>
          <w:color w:val="auto"/>
          <w:sz w:val="44"/>
          <w:szCs w:val="44"/>
          <w:highlight w:val="none"/>
        </w:rPr>
      </w:pPr>
    </w:p>
    <w:p>
      <w:pPr>
        <w:autoSpaceDE w:val="0"/>
        <w:autoSpaceDN w:val="0"/>
        <w:adjustRightInd w:val="0"/>
        <w:spacing w:line="520" w:lineRule="exact"/>
        <w:jc w:val="both"/>
        <w:rPr>
          <w:rFonts w:hint="eastAsia" w:ascii="宋体" w:hAnsi="宋体" w:eastAsia="宋体" w:cs="宋体"/>
          <w:b/>
          <w:color w:val="auto"/>
          <w:sz w:val="44"/>
          <w:szCs w:val="44"/>
          <w:highlight w:val="none"/>
        </w:rPr>
      </w:pPr>
    </w:p>
    <w:p>
      <w:pPr>
        <w:pStyle w:val="2"/>
        <w:rPr>
          <w:rFonts w:hint="eastAsia"/>
          <w:color w:val="auto"/>
          <w:highlight w:val="none"/>
        </w:rPr>
      </w:pPr>
    </w:p>
    <w:p>
      <w:pPr>
        <w:spacing w:before="317" w:beforeLines="100"/>
        <w:ind w:firstLine="880" w:firstLineChars="200"/>
        <w:jc w:val="center"/>
        <w:outlineLvl w:val="9"/>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专业分包投标文件</w:t>
      </w:r>
    </w:p>
    <w:p>
      <w:pPr>
        <w:autoSpaceDE w:val="0"/>
        <w:autoSpaceDN w:val="0"/>
        <w:adjustRightInd w:val="0"/>
        <w:spacing w:line="520" w:lineRule="exact"/>
        <w:jc w:val="center"/>
        <w:rPr>
          <w:rFonts w:hint="eastAsia" w:ascii="宋体" w:hAnsi="宋体" w:eastAsia="宋体" w:cs="宋体"/>
          <w:b/>
          <w:color w:val="auto"/>
          <w:kern w:val="0"/>
          <w:sz w:val="44"/>
          <w:highlight w:val="none"/>
        </w:rPr>
      </w:pPr>
    </w:p>
    <w:p>
      <w:pPr>
        <w:autoSpaceDE w:val="0"/>
        <w:autoSpaceDN w:val="0"/>
        <w:adjustRightInd w:val="0"/>
        <w:spacing w:line="520" w:lineRule="exact"/>
        <w:jc w:val="center"/>
        <w:rPr>
          <w:rFonts w:hint="eastAsia" w:ascii="宋体" w:hAnsi="宋体" w:eastAsia="宋体" w:cs="宋体"/>
          <w:b/>
          <w:color w:val="auto"/>
          <w:kern w:val="0"/>
          <w:sz w:val="44"/>
          <w:highlight w:val="none"/>
        </w:rPr>
      </w:pPr>
    </w:p>
    <w:p>
      <w:pPr>
        <w:autoSpaceDE w:val="0"/>
        <w:autoSpaceDN w:val="0"/>
        <w:adjustRightInd w:val="0"/>
        <w:spacing w:line="520" w:lineRule="exact"/>
        <w:jc w:val="center"/>
        <w:rPr>
          <w:rFonts w:hint="eastAsia" w:ascii="宋体" w:hAnsi="宋体" w:eastAsia="宋体" w:cs="宋体"/>
          <w:b/>
          <w:color w:val="auto"/>
          <w:kern w:val="0"/>
          <w:sz w:val="44"/>
          <w:highlight w:val="none"/>
        </w:rPr>
      </w:pPr>
    </w:p>
    <w:p>
      <w:pPr>
        <w:autoSpaceDE w:val="0"/>
        <w:autoSpaceDN w:val="0"/>
        <w:adjustRightInd w:val="0"/>
        <w:spacing w:line="520" w:lineRule="exact"/>
        <w:rPr>
          <w:rFonts w:hint="eastAsia" w:ascii="宋体" w:hAnsi="宋体" w:eastAsia="宋体" w:cs="宋体"/>
          <w:b/>
          <w:color w:val="auto"/>
          <w:kern w:val="0"/>
          <w:sz w:val="44"/>
          <w:highlight w:val="none"/>
        </w:rPr>
      </w:pPr>
    </w:p>
    <w:p>
      <w:pPr>
        <w:autoSpaceDE w:val="0"/>
        <w:autoSpaceDN w:val="0"/>
        <w:adjustRightInd w:val="0"/>
        <w:spacing w:line="520" w:lineRule="exact"/>
        <w:jc w:val="center"/>
        <w:rPr>
          <w:rFonts w:hint="eastAsia" w:ascii="宋体" w:hAnsi="宋体" w:eastAsia="宋体" w:cs="宋体"/>
          <w:b/>
          <w:color w:val="auto"/>
          <w:kern w:val="0"/>
          <w:sz w:val="44"/>
          <w:highlight w:val="none"/>
        </w:rPr>
      </w:pPr>
    </w:p>
    <w:p>
      <w:pPr>
        <w:spacing w:line="360" w:lineRule="auto"/>
        <w:ind w:firstLine="560" w:firstLineChars="200"/>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投标人单位名称：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(盖单位公章)</w:t>
      </w:r>
    </w:p>
    <w:p>
      <w:pPr>
        <w:spacing w:line="360" w:lineRule="auto"/>
        <w:ind w:firstLine="560" w:firstLineChars="200"/>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pPr>
        <w:spacing w:line="360" w:lineRule="auto"/>
        <w:ind w:firstLine="560" w:firstLineChars="200"/>
        <w:jc w:val="center"/>
        <w:rPr>
          <w:rFonts w:hint="eastAsia" w:ascii="宋体" w:hAnsi="宋体" w:eastAsia="宋体" w:cs="宋体"/>
          <w:color w:val="auto"/>
          <w:sz w:val="28"/>
          <w:szCs w:val="28"/>
          <w:highlight w:val="none"/>
        </w:rPr>
      </w:pPr>
    </w:p>
    <w:p>
      <w:pPr>
        <w:spacing w:line="360" w:lineRule="auto"/>
        <w:ind w:firstLine="560" w:firstLineChars="200"/>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pStyle w:val="14"/>
        <w:snapToGrid w:val="0"/>
        <w:rPr>
          <w:rFonts w:hint="eastAsia" w:ascii="宋体" w:hAnsi="宋体" w:eastAsia="宋体" w:cs="宋体"/>
          <w:color w:val="auto"/>
          <w:sz w:val="24"/>
          <w:highlight w:val="none"/>
          <w:lang w:eastAsia="zh-CN"/>
        </w:rPr>
      </w:pPr>
    </w:p>
    <w:p>
      <w:pPr>
        <w:pStyle w:val="14"/>
        <w:snapToGrid w:val="0"/>
        <w:rPr>
          <w:rFonts w:hint="eastAsia" w:ascii="宋体" w:hAnsi="宋体" w:eastAsia="宋体" w:cs="宋体"/>
          <w:color w:val="auto"/>
          <w:sz w:val="24"/>
          <w:highlight w:val="none"/>
        </w:rPr>
      </w:pPr>
    </w:p>
    <w:p>
      <w:pPr>
        <w:pStyle w:val="14"/>
        <w:snapToGrid w:val="0"/>
        <w:rPr>
          <w:rFonts w:hint="eastAsia" w:ascii="宋体" w:hAnsi="宋体" w:eastAsia="宋体" w:cs="宋体"/>
          <w:color w:val="auto"/>
          <w:sz w:val="24"/>
          <w:highlight w:val="none"/>
        </w:rPr>
      </w:pPr>
    </w:p>
    <w:p>
      <w:pPr>
        <w:pStyle w:val="14"/>
        <w:snapToGrid w:val="0"/>
        <w:rPr>
          <w:rFonts w:hint="eastAsia" w:ascii="宋体" w:hAnsi="宋体" w:eastAsia="宋体" w:cs="宋体"/>
          <w:color w:val="auto"/>
          <w:sz w:val="24"/>
          <w:highlight w:val="none"/>
        </w:rPr>
      </w:pPr>
    </w:p>
    <w:p>
      <w:pPr>
        <w:pStyle w:val="33"/>
        <w:tabs>
          <w:tab w:val="left" w:pos="1200"/>
        </w:tabs>
        <w:ind w:left="-84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注：投标人可以根据企业自身情况编制专业分包投标文件封面，封面格式不做强制性要求，投标人参照执行即可。</w:t>
      </w:r>
    </w:p>
    <w:p>
      <w:pPr>
        <w:rPr>
          <w:rFonts w:hint="eastAsia" w:ascii="宋体" w:hAnsi="宋体" w:eastAsia="宋体" w:cs="宋体"/>
          <w:bCs w:val="0"/>
          <w:color w:val="auto"/>
          <w:sz w:val="28"/>
          <w:szCs w:val="28"/>
          <w:highlight w:val="none"/>
        </w:rPr>
      </w:pPr>
      <w:bookmarkStart w:id="132" w:name="_Toc22103"/>
      <w:bookmarkStart w:id="133" w:name="_Toc22820"/>
      <w:r>
        <w:rPr>
          <w:rFonts w:hint="eastAsia" w:ascii="宋体" w:hAnsi="宋体" w:eastAsia="宋体" w:cs="宋体"/>
          <w:bCs w:val="0"/>
          <w:color w:val="auto"/>
          <w:sz w:val="28"/>
          <w:szCs w:val="28"/>
          <w:highlight w:val="none"/>
        </w:rPr>
        <w:br w:type="page"/>
      </w:r>
    </w:p>
    <w:p>
      <w:pPr>
        <w:pStyle w:val="5"/>
        <w:spacing w:before="0" w:after="0" w:line="600" w:lineRule="exact"/>
        <w:jc w:val="center"/>
        <w:outlineLvl w:val="2"/>
        <w:rPr>
          <w:rFonts w:hint="eastAsia"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rPr>
        <w:t>一、投标报价（唱标）一览表</w:t>
      </w:r>
      <w:bookmarkEnd w:id="132"/>
      <w:bookmarkEnd w:id="133"/>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351"/>
        <w:gridCol w:w="3240"/>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817" w:type="dxa"/>
            <w:vMerge w:val="restart"/>
            <w:vAlign w:val="center"/>
          </w:tcPr>
          <w:p>
            <w:pPr>
              <w:spacing w:line="400" w:lineRule="exact"/>
              <w:jc w:val="center"/>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序号</w:t>
            </w:r>
          </w:p>
        </w:tc>
        <w:tc>
          <w:tcPr>
            <w:tcW w:w="2351" w:type="dxa"/>
            <w:vMerge w:val="restart"/>
            <w:vAlign w:val="center"/>
          </w:tcPr>
          <w:p>
            <w:pPr>
              <w:spacing w:line="400" w:lineRule="exact"/>
              <w:jc w:val="center"/>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项 目</w:t>
            </w:r>
          </w:p>
        </w:tc>
        <w:tc>
          <w:tcPr>
            <w:tcW w:w="6660" w:type="dxa"/>
            <w:gridSpan w:val="2"/>
            <w:vAlign w:val="center"/>
          </w:tcPr>
          <w:p>
            <w:pPr>
              <w:spacing w:line="400" w:lineRule="exact"/>
              <w:jc w:val="center"/>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817" w:type="dxa"/>
            <w:vMerge w:val="continue"/>
            <w:vAlign w:val="center"/>
          </w:tcPr>
          <w:p>
            <w:pPr>
              <w:spacing w:line="400" w:lineRule="exact"/>
              <w:jc w:val="center"/>
              <w:rPr>
                <w:rFonts w:hint="eastAsia" w:ascii="宋体" w:hAnsi="宋体" w:eastAsia="宋体" w:cs="宋体"/>
                <w:bCs/>
                <w:color w:val="auto"/>
                <w:sz w:val="24"/>
                <w:szCs w:val="22"/>
                <w:highlight w:val="none"/>
              </w:rPr>
            </w:pPr>
          </w:p>
        </w:tc>
        <w:tc>
          <w:tcPr>
            <w:tcW w:w="2351" w:type="dxa"/>
            <w:vMerge w:val="continue"/>
            <w:vAlign w:val="center"/>
          </w:tcPr>
          <w:p>
            <w:pPr>
              <w:spacing w:line="400" w:lineRule="exact"/>
              <w:jc w:val="center"/>
              <w:rPr>
                <w:rFonts w:hint="eastAsia" w:ascii="宋体" w:hAnsi="宋体" w:eastAsia="宋体" w:cs="宋体"/>
                <w:bCs/>
                <w:color w:val="auto"/>
                <w:sz w:val="24"/>
                <w:szCs w:val="22"/>
                <w:highlight w:val="none"/>
              </w:rPr>
            </w:pPr>
          </w:p>
        </w:tc>
        <w:tc>
          <w:tcPr>
            <w:tcW w:w="3240" w:type="dxa"/>
            <w:vAlign w:val="center"/>
          </w:tcPr>
          <w:p>
            <w:pPr>
              <w:spacing w:line="400" w:lineRule="exact"/>
              <w:jc w:val="center"/>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小 写(万元)</w:t>
            </w:r>
          </w:p>
        </w:tc>
        <w:tc>
          <w:tcPr>
            <w:tcW w:w="3420" w:type="dxa"/>
            <w:vAlign w:val="center"/>
          </w:tcPr>
          <w:p>
            <w:pPr>
              <w:spacing w:line="400" w:lineRule="exact"/>
              <w:jc w:val="center"/>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大  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817" w:type="dxa"/>
            <w:vAlign w:val="center"/>
          </w:tcPr>
          <w:p>
            <w:pPr>
              <w:spacing w:line="400" w:lineRule="exact"/>
              <w:jc w:val="center"/>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1</w:t>
            </w:r>
          </w:p>
        </w:tc>
        <w:tc>
          <w:tcPr>
            <w:tcW w:w="2351" w:type="dxa"/>
            <w:vAlign w:val="center"/>
          </w:tcPr>
          <w:p>
            <w:pPr>
              <w:spacing w:line="400" w:lineRule="exact"/>
              <w:jc w:val="center"/>
              <w:rPr>
                <w:rFonts w:hint="eastAsia" w:ascii="宋体" w:hAnsi="宋体" w:eastAsia="宋体" w:cs="宋体"/>
                <w:bCs/>
                <w:color w:val="auto"/>
                <w:sz w:val="24"/>
                <w:szCs w:val="22"/>
                <w:highlight w:val="none"/>
                <w:lang w:eastAsia="zh-CN"/>
              </w:rPr>
            </w:pPr>
            <w:r>
              <w:rPr>
                <w:rFonts w:hint="eastAsia" w:ascii="宋体" w:hAnsi="宋体" w:eastAsia="宋体" w:cs="宋体"/>
                <w:bCs/>
                <w:color w:val="auto"/>
                <w:sz w:val="24"/>
                <w:szCs w:val="22"/>
                <w:highlight w:val="none"/>
              </w:rPr>
              <w:t>投 标 总 价</w:t>
            </w:r>
            <w:r>
              <w:rPr>
                <w:rFonts w:hint="eastAsia" w:ascii="宋体" w:hAnsi="宋体" w:eastAsia="宋体" w:cs="宋体"/>
                <w:bCs/>
                <w:color w:val="auto"/>
                <w:sz w:val="24"/>
                <w:szCs w:val="22"/>
                <w:highlight w:val="none"/>
                <w:lang w:val="en-US" w:eastAsia="zh-CN"/>
              </w:rPr>
              <w:t xml:space="preserve">    </w:t>
            </w:r>
            <w:r>
              <w:rPr>
                <w:rFonts w:hint="eastAsia" w:ascii="宋体" w:hAnsi="宋体" w:eastAsia="宋体" w:cs="宋体"/>
                <w:bCs/>
                <w:color w:val="auto"/>
                <w:sz w:val="24"/>
                <w:szCs w:val="22"/>
                <w:highlight w:val="none"/>
                <w:lang w:eastAsia="zh-CN"/>
              </w:rPr>
              <w:t>（</w:t>
            </w:r>
            <w:r>
              <w:rPr>
                <w:rFonts w:hint="eastAsia" w:ascii="宋体" w:hAnsi="宋体" w:eastAsia="宋体" w:cs="宋体"/>
                <w:bCs/>
                <w:color w:val="auto"/>
                <w:sz w:val="24"/>
                <w:szCs w:val="22"/>
                <w:highlight w:val="none"/>
                <w:lang w:val="en-US" w:eastAsia="zh-CN"/>
              </w:rPr>
              <w:t>不含税</w:t>
            </w:r>
            <w:r>
              <w:rPr>
                <w:rFonts w:hint="eastAsia" w:ascii="宋体" w:hAnsi="宋体" w:eastAsia="宋体" w:cs="宋体"/>
                <w:bCs/>
                <w:color w:val="auto"/>
                <w:sz w:val="24"/>
                <w:szCs w:val="22"/>
                <w:highlight w:val="none"/>
                <w:lang w:eastAsia="zh-CN"/>
              </w:rPr>
              <w:t>）</w:t>
            </w:r>
          </w:p>
        </w:tc>
        <w:tc>
          <w:tcPr>
            <w:tcW w:w="3240" w:type="dxa"/>
            <w:vAlign w:val="center"/>
          </w:tcPr>
          <w:p>
            <w:pPr>
              <w:spacing w:line="400" w:lineRule="exact"/>
              <w:jc w:val="center"/>
              <w:rPr>
                <w:rFonts w:hint="eastAsia" w:ascii="宋体" w:hAnsi="宋体" w:eastAsia="宋体" w:cs="宋体"/>
                <w:bCs/>
                <w:color w:val="auto"/>
                <w:sz w:val="24"/>
                <w:szCs w:val="22"/>
                <w:highlight w:val="none"/>
              </w:rPr>
            </w:pPr>
          </w:p>
        </w:tc>
        <w:tc>
          <w:tcPr>
            <w:tcW w:w="3420" w:type="dxa"/>
            <w:vAlign w:val="center"/>
          </w:tcPr>
          <w:p>
            <w:pPr>
              <w:spacing w:line="400" w:lineRule="exact"/>
              <w:jc w:val="center"/>
              <w:rPr>
                <w:rFonts w:hint="eastAsia" w:ascii="宋体" w:hAnsi="宋体" w:eastAsia="宋体" w:cs="宋体"/>
                <w:bCs/>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817" w:type="dxa"/>
            <w:vAlign w:val="center"/>
          </w:tcPr>
          <w:p>
            <w:pPr>
              <w:spacing w:line="400" w:lineRule="exact"/>
              <w:jc w:val="center"/>
              <w:rPr>
                <w:rFonts w:hint="eastAsia" w:ascii="宋体" w:hAnsi="宋体" w:eastAsia="宋体" w:cs="宋体"/>
                <w:bCs/>
                <w:color w:val="auto"/>
                <w:sz w:val="24"/>
                <w:szCs w:val="22"/>
                <w:highlight w:val="none"/>
                <w:lang w:val="en-US" w:eastAsia="zh-CN"/>
              </w:rPr>
            </w:pPr>
            <w:r>
              <w:rPr>
                <w:rFonts w:hint="eastAsia" w:ascii="宋体" w:hAnsi="宋体" w:eastAsia="宋体" w:cs="宋体"/>
                <w:bCs/>
                <w:color w:val="auto"/>
                <w:sz w:val="24"/>
                <w:szCs w:val="22"/>
                <w:highlight w:val="none"/>
                <w:lang w:val="en-US" w:eastAsia="zh-CN"/>
              </w:rPr>
              <w:t>2</w:t>
            </w:r>
          </w:p>
        </w:tc>
        <w:tc>
          <w:tcPr>
            <w:tcW w:w="2351" w:type="dxa"/>
            <w:vAlign w:val="center"/>
          </w:tcPr>
          <w:p>
            <w:pPr>
              <w:spacing w:line="400" w:lineRule="exact"/>
              <w:jc w:val="center"/>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投 标 总 价</w:t>
            </w:r>
            <w:r>
              <w:rPr>
                <w:rFonts w:hint="eastAsia" w:ascii="宋体" w:hAnsi="宋体" w:eastAsia="宋体" w:cs="宋体"/>
                <w:bCs/>
                <w:color w:val="auto"/>
                <w:sz w:val="24"/>
                <w:szCs w:val="22"/>
                <w:highlight w:val="none"/>
                <w:lang w:val="en-US" w:eastAsia="zh-CN"/>
              </w:rPr>
              <w:t xml:space="preserve">    </w:t>
            </w:r>
            <w:r>
              <w:rPr>
                <w:rFonts w:hint="eastAsia" w:ascii="宋体" w:hAnsi="宋体" w:eastAsia="宋体" w:cs="宋体"/>
                <w:bCs/>
                <w:color w:val="auto"/>
                <w:sz w:val="24"/>
                <w:szCs w:val="22"/>
                <w:highlight w:val="none"/>
                <w:lang w:eastAsia="zh-CN"/>
              </w:rPr>
              <w:t>（</w:t>
            </w:r>
            <w:r>
              <w:rPr>
                <w:rFonts w:hint="eastAsia" w:ascii="宋体" w:hAnsi="宋体" w:eastAsia="宋体" w:cs="宋体"/>
                <w:bCs/>
                <w:color w:val="auto"/>
                <w:sz w:val="24"/>
                <w:szCs w:val="22"/>
                <w:highlight w:val="none"/>
                <w:lang w:val="en-US" w:eastAsia="zh-CN"/>
              </w:rPr>
              <w:t>含税</w:t>
            </w:r>
            <w:r>
              <w:rPr>
                <w:rFonts w:hint="eastAsia" w:ascii="宋体" w:hAnsi="宋体" w:eastAsia="宋体" w:cs="宋体"/>
                <w:bCs/>
                <w:color w:val="auto"/>
                <w:sz w:val="24"/>
                <w:szCs w:val="22"/>
                <w:highlight w:val="none"/>
                <w:lang w:eastAsia="zh-CN"/>
              </w:rPr>
              <w:t>）</w:t>
            </w:r>
          </w:p>
        </w:tc>
        <w:tc>
          <w:tcPr>
            <w:tcW w:w="3240" w:type="dxa"/>
            <w:vAlign w:val="center"/>
          </w:tcPr>
          <w:p>
            <w:pPr>
              <w:spacing w:line="400" w:lineRule="exact"/>
              <w:jc w:val="center"/>
              <w:rPr>
                <w:rFonts w:hint="eastAsia" w:ascii="宋体" w:hAnsi="宋体" w:eastAsia="宋体" w:cs="宋体"/>
                <w:bCs/>
                <w:color w:val="auto"/>
                <w:sz w:val="24"/>
                <w:szCs w:val="22"/>
                <w:highlight w:val="none"/>
              </w:rPr>
            </w:pPr>
          </w:p>
        </w:tc>
        <w:tc>
          <w:tcPr>
            <w:tcW w:w="3420" w:type="dxa"/>
            <w:vAlign w:val="center"/>
          </w:tcPr>
          <w:p>
            <w:pPr>
              <w:spacing w:line="400" w:lineRule="exact"/>
              <w:jc w:val="center"/>
              <w:rPr>
                <w:rFonts w:hint="eastAsia" w:ascii="宋体" w:hAnsi="宋体" w:eastAsia="宋体" w:cs="宋体"/>
                <w:bCs/>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17" w:type="dxa"/>
            <w:vAlign w:val="center"/>
          </w:tcPr>
          <w:p>
            <w:pPr>
              <w:spacing w:line="400" w:lineRule="exact"/>
              <w:jc w:val="center"/>
              <w:rPr>
                <w:rFonts w:hint="eastAsia" w:ascii="宋体" w:hAnsi="宋体" w:eastAsia="宋体" w:cs="宋体"/>
                <w:bCs/>
                <w:color w:val="auto"/>
                <w:sz w:val="24"/>
                <w:szCs w:val="22"/>
                <w:highlight w:val="none"/>
                <w:lang w:eastAsia="zh-CN"/>
              </w:rPr>
            </w:pPr>
            <w:r>
              <w:rPr>
                <w:rFonts w:hint="eastAsia" w:ascii="宋体" w:hAnsi="宋体" w:eastAsia="宋体" w:cs="宋体"/>
                <w:bCs/>
                <w:color w:val="auto"/>
                <w:sz w:val="24"/>
                <w:szCs w:val="22"/>
                <w:highlight w:val="none"/>
                <w:lang w:val="en-US" w:eastAsia="zh-CN"/>
              </w:rPr>
              <w:t>3</w:t>
            </w:r>
          </w:p>
        </w:tc>
        <w:tc>
          <w:tcPr>
            <w:tcW w:w="2351" w:type="dxa"/>
            <w:vAlign w:val="center"/>
          </w:tcPr>
          <w:p>
            <w:pPr>
              <w:spacing w:line="400" w:lineRule="exact"/>
              <w:jc w:val="center"/>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新增单价确定方式</w:t>
            </w:r>
          </w:p>
        </w:tc>
        <w:tc>
          <w:tcPr>
            <w:tcW w:w="6660" w:type="dxa"/>
            <w:gridSpan w:val="2"/>
            <w:vAlign w:val="center"/>
          </w:tcPr>
          <w:p>
            <w:pPr>
              <w:spacing w:line="400" w:lineRule="exact"/>
              <w:jc w:val="center"/>
              <w:rPr>
                <w:rFonts w:hint="eastAsia" w:ascii="宋体" w:hAnsi="宋体" w:eastAsia="宋体" w:cs="宋体"/>
                <w:bCs/>
                <w:color w:val="auto"/>
                <w:sz w:val="28"/>
                <w:szCs w:val="24"/>
                <w:highlight w:val="none"/>
              </w:rPr>
            </w:pPr>
            <w:r>
              <w:rPr>
                <w:rFonts w:hint="eastAsia" w:ascii="宋体" w:hAnsi="宋体" w:eastAsia="宋体" w:cs="宋体"/>
                <w:color w:val="auto"/>
                <w:sz w:val="22"/>
                <w:szCs w:val="22"/>
                <w:highlight w:val="none"/>
                <w:u w:val="none"/>
                <w:lang w:val="en-US" w:eastAsia="zh-CN"/>
              </w:rPr>
              <w:t>双方协商后，根据甲方管理要求执行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817" w:type="dxa"/>
            <w:vAlign w:val="center"/>
          </w:tcPr>
          <w:p>
            <w:pPr>
              <w:spacing w:line="400" w:lineRule="exact"/>
              <w:jc w:val="center"/>
              <w:rPr>
                <w:rFonts w:hint="eastAsia" w:ascii="宋体" w:hAnsi="宋体" w:eastAsia="宋体" w:cs="宋体"/>
                <w:bCs/>
                <w:color w:val="auto"/>
                <w:sz w:val="24"/>
                <w:szCs w:val="22"/>
                <w:highlight w:val="none"/>
                <w:lang w:eastAsia="zh-CN"/>
              </w:rPr>
            </w:pPr>
            <w:r>
              <w:rPr>
                <w:rFonts w:hint="eastAsia" w:ascii="宋体" w:hAnsi="宋体" w:eastAsia="宋体" w:cs="宋体"/>
                <w:bCs/>
                <w:color w:val="auto"/>
                <w:sz w:val="24"/>
                <w:szCs w:val="22"/>
                <w:highlight w:val="none"/>
                <w:lang w:val="en-US" w:eastAsia="zh-CN"/>
              </w:rPr>
              <w:t>4</w:t>
            </w:r>
          </w:p>
        </w:tc>
        <w:tc>
          <w:tcPr>
            <w:tcW w:w="2351" w:type="dxa"/>
            <w:vAlign w:val="center"/>
          </w:tcPr>
          <w:p>
            <w:pPr>
              <w:spacing w:line="400" w:lineRule="exact"/>
              <w:jc w:val="center"/>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质 量 承 诺</w:t>
            </w:r>
          </w:p>
        </w:tc>
        <w:tc>
          <w:tcPr>
            <w:tcW w:w="6660" w:type="dxa"/>
            <w:gridSpan w:val="2"/>
            <w:vAlign w:val="center"/>
          </w:tcPr>
          <w:p>
            <w:pPr>
              <w:spacing w:line="400" w:lineRule="exact"/>
              <w:jc w:val="center"/>
              <w:rPr>
                <w:rFonts w:hint="eastAsia" w:ascii="宋体" w:hAnsi="宋体" w:eastAsia="宋体" w:cs="宋体"/>
                <w:bCs/>
                <w:color w:val="auto"/>
                <w:sz w:val="28"/>
                <w:szCs w:val="24"/>
                <w:highlight w:val="none"/>
              </w:rPr>
            </w:pPr>
            <w:r>
              <w:rPr>
                <w:rFonts w:hint="eastAsia" w:ascii="宋体" w:hAnsi="宋体" w:eastAsia="宋体" w:cs="宋体"/>
                <w:color w:val="auto"/>
                <w:sz w:val="22"/>
                <w:szCs w:val="22"/>
                <w:highlight w:val="none"/>
                <w:u w:val="none"/>
              </w:rPr>
              <w:t>工程质量符合</w:t>
            </w:r>
            <w:r>
              <w:rPr>
                <w:rFonts w:hint="eastAsia" w:ascii="宋体" w:hAnsi="宋体" w:eastAsia="宋体" w:cs="宋体"/>
                <w:color w:val="auto"/>
                <w:sz w:val="22"/>
                <w:szCs w:val="22"/>
                <w:highlight w:val="none"/>
                <w:u w:val="none"/>
                <w:lang w:val="en-US" w:eastAsia="zh-CN"/>
              </w:rPr>
              <w:t>图纸设计要求、</w:t>
            </w:r>
            <w:r>
              <w:rPr>
                <w:rFonts w:hint="eastAsia" w:ascii="宋体" w:hAnsi="宋体" w:eastAsia="宋体" w:cs="宋体"/>
                <w:color w:val="auto"/>
                <w:sz w:val="22"/>
                <w:szCs w:val="22"/>
                <w:highlight w:val="none"/>
                <w:u w:val="none"/>
              </w:rPr>
              <w:t>国家、行业及地方现行的相关标准及规范一次性验收合格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817" w:type="dxa"/>
            <w:vAlign w:val="center"/>
          </w:tcPr>
          <w:p>
            <w:pPr>
              <w:spacing w:line="400" w:lineRule="exact"/>
              <w:jc w:val="center"/>
              <w:rPr>
                <w:rFonts w:hint="eastAsia" w:ascii="宋体" w:hAnsi="宋体" w:eastAsia="宋体" w:cs="宋体"/>
                <w:bCs/>
                <w:color w:val="auto"/>
                <w:sz w:val="24"/>
                <w:szCs w:val="22"/>
                <w:highlight w:val="none"/>
                <w:lang w:eastAsia="zh-CN"/>
              </w:rPr>
            </w:pPr>
            <w:r>
              <w:rPr>
                <w:rFonts w:hint="eastAsia" w:ascii="宋体" w:hAnsi="宋体" w:eastAsia="宋体" w:cs="宋体"/>
                <w:bCs/>
                <w:color w:val="auto"/>
                <w:sz w:val="24"/>
                <w:szCs w:val="22"/>
                <w:highlight w:val="none"/>
                <w:lang w:val="en-US" w:eastAsia="zh-CN"/>
              </w:rPr>
              <w:t>5</w:t>
            </w:r>
          </w:p>
        </w:tc>
        <w:tc>
          <w:tcPr>
            <w:tcW w:w="2351" w:type="dxa"/>
            <w:vAlign w:val="center"/>
          </w:tcPr>
          <w:p>
            <w:pPr>
              <w:spacing w:line="400" w:lineRule="exact"/>
              <w:jc w:val="center"/>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安全文明施工承诺</w:t>
            </w:r>
          </w:p>
        </w:tc>
        <w:tc>
          <w:tcPr>
            <w:tcW w:w="6660" w:type="dxa"/>
            <w:gridSpan w:val="2"/>
            <w:vAlign w:val="center"/>
          </w:tcPr>
          <w:p>
            <w:pPr>
              <w:spacing w:line="400" w:lineRule="exact"/>
              <w:jc w:val="center"/>
              <w:rPr>
                <w:rFonts w:hint="eastAsia" w:ascii="宋体" w:hAnsi="宋体" w:eastAsia="宋体" w:cs="宋体"/>
                <w:bCs/>
                <w:color w:val="auto"/>
                <w:sz w:val="28"/>
                <w:szCs w:val="24"/>
                <w:highlight w:val="none"/>
              </w:rPr>
            </w:pPr>
            <w:r>
              <w:rPr>
                <w:rFonts w:hint="eastAsia" w:ascii="宋体" w:hAnsi="宋体" w:eastAsia="宋体" w:cs="宋体"/>
                <w:color w:val="auto"/>
                <w:sz w:val="22"/>
                <w:szCs w:val="28"/>
                <w:highlight w:val="none"/>
                <w:u w:val="none"/>
                <w:lang w:val="en-US" w:eastAsia="zh-CN"/>
              </w:rPr>
              <w:t>按规范及招标人的策划要求及招标文件第二篇管理要求及合同相关内容执行</w:t>
            </w:r>
            <w:r>
              <w:rPr>
                <w:rFonts w:hint="eastAsia" w:ascii="宋体" w:hAnsi="宋体" w:cs="宋体"/>
                <w:color w:val="auto"/>
                <w:sz w:val="22"/>
                <w:szCs w:val="28"/>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817" w:type="dxa"/>
            <w:vAlign w:val="center"/>
          </w:tcPr>
          <w:p>
            <w:pPr>
              <w:spacing w:line="400" w:lineRule="exact"/>
              <w:jc w:val="center"/>
              <w:rPr>
                <w:rFonts w:hint="eastAsia" w:ascii="宋体" w:hAnsi="宋体" w:eastAsia="宋体" w:cs="宋体"/>
                <w:bCs/>
                <w:color w:val="auto"/>
                <w:sz w:val="24"/>
                <w:szCs w:val="22"/>
                <w:highlight w:val="none"/>
                <w:lang w:eastAsia="zh-CN"/>
              </w:rPr>
            </w:pPr>
            <w:r>
              <w:rPr>
                <w:rFonts w:hint="eastAsia" w:ascii="宋体" w:hAnsi="宋体" w:eastAsia="宋体" w:cs="宋体"/>
                <w:bCs/>
                <w:color w:val="auto"/>
                <w:sz w:val="24"/>
                <w:szCs w:val="22"/>
                <w:highlight w:val="none"/>
                <w:lang w:val="en-US" w:eastAsia="zh-CN"/>
              </w:rPr>
              <w:t>6</w:t>
            </w:r>
          </w:p>
        </w:tc>
        <w:tc>
          <w:tcPr>
            <w:tcW w:w="2351" w:type="dxa"/>
            <w:vAlign w:val="center"/>
          </w:tcPr>
          <w:p>
            <w:pPr>
              <w:spacing w:line="400" w:lineRule="exact"/>
              <w:jc w:val="center"/>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工 期 承 诺</w:t>
            </w:r>
          </w:p>
        </w:tc>
        <w:tc>
          <w:tcPr>
            <w:tcW w:w="6660" w:type="dxa"/>
            <w:gridSpan w:val="2"/>
            <w:vAlign w:val="center"/>
          </w:tcPr>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开工日期：</w:t>
            </w:r>
            <w:r>
              <w:rPr>
                <w:rFonts w:hint="eastAsia" w:ascii="宋体" w:hAnsi="宋体" w:eastAsia="宋体" w:cs="宋体"/>
                <w:color w:val="auto"/>
                <w:szCs w:val="21"/>
                <w:highlight w:val="none"/>
                <w:u w:val="single"/>
              </w:rPr>
              <w:t xml:space="preserve">    </w:t>
            </w:r>
            <w:r>
              <w:rPr>
                <w:rFonts w:hint="eastAsia" w:ascii="宋体" w:hAnsi="宋体"/>
                <w:color w:val="auto"/>
                <w:szCs w:val="21"/>
                <w:highlight w:val="none"/>
                <w:u w:val="single"/>
                <w:lang w:val="en-US" w:eastAsia="zh-CN"/>
              </w:rPr>
              <w:t>以招标人要求为准</w:t>
            </w:r>
            <w:r>
              <w:rPr>
                <w:rFonts w:hint="eastAsia" w:ascii="宋体" w:hAnsi="宋体"/>
                <w:color w:val="auto"/>
                <w:szCs w:val="21"/>
                <w:highlight w:val="none"/>
                <w:u w:val="single"/>
              </w:rPr>
              <w:t xml:space="preserve"> </w:t>
            </w:r>
            <w:r>
              <w:rPr>
                <w:rFonts w:hint="eastAsia" w:ascii="宋体" w:hAnsi="宋体" w:eastAsia="宋体" w:cs="宋体"/>
                <w:color w:val="auto"/>
                <w:szCs w:val="21"/>
                <w:highlight w:val="none"/>
                <w:u w:val="single"/>
              </w:rPr>
              <w:t xml:space="preserve">   </w:t>
            </w:r>
          </w:p>
          <w:p>
            <w:pPr>
              <w:rPr>
                <w:rFonts w:hint="eastAsia" w:ascii="宋体" w:hAnsi="宋体" w:eastAsia="宋体" w:cs="宋体"/>
                <w:color w:val="auto"/>
                <w:highlight w:val="none"/>
                <w:u w:val="single"/>
              </w:rPr>
            </w:pPr>
            <w:r>
              <w:rPr>
                <w:rFonts w:hint="eastAsia" w:ascii="宋体" w:hAnsi="宋体" w:eastAsia="宋体" w:cs="宋体"/>
                <w:color w:val="auto"/>
                <w:highlight w:val="none"/>
              </w:rPr>
              <w:t>竣工日期：</w:t>
            </w:r>
            <w:r>
              <w:rPr>
                <w:rFonts w:hint="eastAsia" w:ascii="宋体" w:hAnsi="宋体" w:eastAsia="宋体" w:cs="宋体"/>
                <w:color w:val="auto"/>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color w:val="auto"/>
                <w:szCs w:val="21"/>
                <w:highlight w:val="none"/>
                <w:u w:val="single"/>
                <w:lang w:val="en-US" w:eastAsia="zh-CN"/>
              </w:rPr>
              <w:t>以招标人要求为准</w:t>
            </w:r>
            <w:r>
              <w:rPr>
                <w:rFonts w:hint="eastAsia" w:ascii="宋体" w:hAnsi="宋体" w:eastAsia="宋体" w:cs="宋体"/>
                <w:color w:val="auto"/>
                <w:highlight w:val="none"/>
                <w:u w:val="single"/>
              </w:rPr>
              <w:t xml:space="preserve">   </w:t>
            </w:r>
          </w:p>
          <w:p>
            <w:pPr>
              <w:spacing w:line="400" w:lineRule="exact"/>
              <w:jc w:val="left"/>
              <w:rPr>
                <w:rFonts w:hint="eastAsia" w:ascii="宋体" w:hAnsi="宋体" w:eastAsia="宋体" w:cs="宋体"/>
                <w:bCs/>
                <w:color w:val="auto"/>
                <w:sz w:val="24"/>
                <w:szCs w:val="22"/>
                <w:highlight w:val="none"/>
              </w:rPr>
            </w:pPr>
            <w:r>
              <w:rPr>
                <w:rFonts w:hint="eastAsia" w:ascii="宋体" w:hAnsi="宋体" w:eastAsia="宋体" w:cs="宋体"/>
                <w:color w:val="auto"/>
                <w:szCs w:val="21"/>
                <w:highlight w:val="none"/>
              </w:rPr>
              <w:t xml:space="preserve">总工期：  </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45</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817" w:type="dxa"/>
            <w:vAlign w:val="center"/>
          </w:tcPr>
          <w:p>
            <w:pPr>
              <w:spacing w:line="400" w:lineRule="exact"/>
              <w:jc w:val="center"/>
              <w:rPr>
                <w:rFonts w:hint="eastAsia" w:ascii="宋体" w:hAnsi="宋体" w:eastAsia="宋体" w:cs="宋体"/>
                <w:bCs/>
                <w:color w:val="auto"/>
                <w:sz w:val="24"/>
                <w:szCs w:val="22"/>
                <w:highlight w:val="none"/>
                <w:lang w:eastAsia="zh-CN"/>
              </w:rPr>
            </w:pPr>
            <w:r>
              <w:rPr>
                <w:rFonts w:hint="eastAsia" w:ascii="宋体" w:hAnsi="宋体" w:eastAsia="宋体" w:cs="宋体"/>
                <w:bCs/>
                <w:color w:val="auto"/>
                <w:sz w:val="24"/>
                <w:szCs w:val="22"/>
                <w:highlight w:val="none"/>
                <w:lang w:val="en-US" w:eastAsia="zh-CN"/>
              </w:rPr>
              <w:t>7</w:t>
            </w:r>
          </w:p>
        </w:tc>
        <w:tc>
          <w:tcPr>
            <w:tcW w:w="2351" w:type="dxa"/>
            <w:vAlign w:val="center"/>
          </w:tcPr>
          <w:p>
            <w:pPr>
              <w:spacing w:line="400" w:lineRule="exact"/>
              <w:jc w:val="center"/>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投 标 保 证 金 形 式</w:t>
            </w:r>
          </w:p>
        </w:tc>
        <w:tc>
          <w:tcPr>
            <w:tcW w:w="6660" w:type="dxa"/>
            <w:gridSpan w:val="2"/>
            <w:vAlign w:val="center"/>
          </w:tcPr>
          <w:p>
            <w:pPr>
              <w:numPr>
                <w:ilvl w:val="0"/>
                <w:numId w:val="3"/>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本工程投标保证金为人民币</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万元整。</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2、保证金形式：</w:t>
            </w:r>
            <w:r>
              <w:rPr>
                <w:rFonts w:hint="eastAsia" w:ascii="宋体" w:hAnsi="宋体" w:eastAsia="宋体" w:cs="宋体"/>
                <w:color w:val="auto"/>
                <w:szCs w:val="21"/>
                <w:highlight w:val="none"/>
                <w:u w:val="single"/>
              </w:rPr>
              <w:t>转账</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银行保函</w:t>
            </w:r>
            <w:r>
              <w:rPr>
                <w:rFonts w:hint="eastAsia" w:ascii="宋体" w:hAnsi="宋体" w:eastAsia="宋体" w:cs="宋体"/>
                <w:color w:val="auto"/>
                <w:szCs w:val="21"/>
                <w:highlight w:val="none"/>
                <w:u w:val="single"/>
                <w:lang w:val="en-US" w:eastAsia="zh-CN"/>
              </w:rPr>
              <w:t>或保证保险</w:t>
            </w:r>
            <w:r>
              <w:rPr>
                <w:rFonts w:hint="eastAsia" w:ascii="宋体" w:hAnsi="宋体" w:eastAsia="宋体" w:cs="宋体"/>
                <w:color w:val="auto"/>
                <w:szCs w:val="21"/>
                <w:highlight w:val="none"/>
              </w:rPr>
              <w:t>。采用银行保函时，出具保函的银行级别：</w:t>
            </w:r>
            <w:r>
              <w:rPr>
                <w:rFonts w:hint="eastAsia" w:ascii="宋体" w:hAnsi="宋体" w:eastAsia="宋体" w:cs="宋体"/>
                <w:color w:val="auto"/>
                <w:szCs w:val="21"/>
                <w:highlight w:val="none"/>
                <w:u w:val="single"/>
              </w:rPr>
              <w:t>国有或商业股份制银行</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3、银行转账方式：</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20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时前由投标人基本账户打入招标人账号。 </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户  名：</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开户行：</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p>
          <w:p>
            <w:pPr>
              <w:spacing w:line="400" w:lineRule="exact"/>
              <w:jc w:val="left"/>
              <w:rPr>
                <w:rFonts w:hint="eastAsia" w:ascii="宋体" w:hAnsi="宋体" w:eastAsia="宋体" w:cs="宋体"/>
                <w:bCs/>
                <w:color w:val="auto"/>
                <w:sz w:val="24"/>
                <w:szCs w:val="22"/>
                <w:highlight w:val="none"/>
              </w:rPr>
            </w:pPr>
            <w:r>
              <w:rPr>
                <w:rFonts w:hint="eastAsia" w:ascii="宋体" w:hAnsi="宋体" w:eastAsia="宋体" w:cs="宋体"/>
                <w:color w:val="auto"/>
                <w:szCs w:val="21"/>
                <w:highlight w:val="none"/>
              </w:rPr>
              <w:t>帐  号：</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817" w:type="dxa"/>
            <w:tcBorders>
              <w:bottom w:val="single" w:color="auto" w:sz="4" w:space="0"/>
            </w:tcBorders>
            <w:vAlign w:val="center"/>
          </w:tcPr>
          <w:p>
            <w:pPr>
              <w:spacing w:line="400" w:lineRule="exact"/>
              <w:jc w:val="center"/>
              <w:rPr>
                <w:rFonts w:hint="eastAsia" w:ascii="宋体" w:hAnsi="宋体" w:eastAsia="宋体" w:cs="宋体"/>
                <w:bCs/>
                <w:color w:val="auto"/>
                <w:sz w:val="24"/>
                <w:szCs w:val="22"/>
                <w:highlight w:val="none"/>
                <w:lang w:eastAsia="zh-CN"/>
              </w:rPr>
            </w:pPr>
            <w:r>
              <w:rPr>
                <w:rFonts w:hint="eastAsia" w:ascii="宋体" w:hAnsi="宋体" w:eastAsia="宋体" w:cs="宋体"/>
                <w:bCs/>
                <w:color w:val="auto"/>
                <w:sz w:val="24"/>
                <w:szCs w:val="22"/>
                <w:highlight w:val="none"/>
                <w:lang w:val="en-US" w:eastAsia="zh-CN"/>
              </w:rPr>
              <w:t>8</w:t>
            </w:r>
          </w:p>
        </w:tc>
        <w:tc>
          <w:tcPr>
            <w:tcW w:w="2351" w:type="dxa"/>
            <w:tcBorders>
              <w:bottom w:val="single" w:color="auto" w:sz="4" w:space="0"/>
            </w:tcBorders>
            <w:vAlign w:val="center"/>
          </w:tcPr>
          <w:p>
            <w:pPr>
              <w:spacing w:line="400" w:lineRule="exact"/>
              <w:jc w:val="center"/>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其他承诺</w:t>
            </w:r>
          </w:p>
        </w:tc>
        <w:tc>
          <w:tcPr>
            <w:tcW w:w="6660" w:type="dxa"/>
            <w:gridSpan w:val="2"/>
            <w:tcBorders>
              <w:bottom w:val="single" w:color="auto" w:sz="4" w:space="0"/>
            </w:tcBorders>
            <w:vAlign w:val="center"/>
          </w:tcPr>
          <w:p>
            <w:pPr>
              <w:spacing w:line="400" w:lineRule="exact"/>
              <w:jc w:val="center"/>
              <w:rPr>
                <w:rFonts w:hint="eastAsia" w:ascii="宋体" w:hAnsi="宋体" w:eastAsia="宋体" w:cs="宋体"/>
                <w:bCs/>
                <w:color w:val="auto"/>
                <w:sz w:val="24"/>
                <w:szCs w:val="22"/>
                <w:highlight w:val="none"/>
                <w:lang w:val="en-US" w:eastAsia="zh-CN"/>
              </w:rPr>
            </w:pPr>
            <w:r>
              <w:rPr>
                <w:rFonts w:hint="eastAsia" w:ascii="宋体" w:hAnsi="宋体" w:cs="宋体"/>
                <w:bCs/>
                <w:color w:val="auto"/>
                <w:sz w:val="24"/>
                <w:szCs w:val="22"/>
                <w:highlight w:val="none"/>
                <w:lang w:val="en-US" w:eastAsia="zh-CN"/>
              </w:rPr>
              <w:t>/</w:t>
            </w:r>
          </w:p>
        </w:tc>
      </w:tr>
    </w:tbl>
    <w:p>
      <w:pPr>
        <w:spacing w:line="320" w:lineRule="exact"/>
        <w:jc w:val="left"/>
        <w:rPr>
          <w:rFonts w:hint="eastAsia" w:ascii="宋体" w:hAnsi="宋体" w:eastAsia="宋体" w:cs="宋体"/>
          <w:color w:val="auto"/>
          <w:sz w:val="24"/>
          <w:szCs w:val="22"/>
          <w:highlight w:val="none"/>
        </w:rPr>
      </w:pP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w:t>
      </w:r>
      <w:r>
        <w:rPr>
          <w:rFonts w:hint="eastAsia" w:ascii="宋体" w:hAnsi="宋体" w:eastAsia="宋体" w:cs="宋体"/>
          <w:color w:val="auto"/>
          <w:szCs w:val="21"/>
          <w:highlight w:val="none"/>
          <w:lang w:val="en-US" w:eastAsia="zh-CN"/>
        </w:rPr>
        <w:t>公</w:t>
      </w:r>
      <w:r>
        <w:rPr>
          <w:rFonts w:hint="eastAsia" w:ascii="宋体" w:hAnsi="宋体" w:eastAsia="宋体" w:cs="宋体"/>
          <w:color w:val="auto"/>
          <w:szCs w:val="21"/>
          <w:highlight w:val="none"/>
        </w:rPr>
        <w:t>章）</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pPr>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1.“投标价(唱标)一览表”为在开标仪式上唱标的内容，应按规定格式填写，统一规范，不得自行增减内容。</w:t>
      </w:r>
    </w:p>
    <w:p>
      <w:pPr>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 此投标价（唱标）一览表，投标单位应放在投标书封面后第一页，仅便于唱标。</w:t>
      </w:r>
    </w:p>
    <w:p>
      <w:pPr>
        <w:pStyle w:val="5"/>
        <w:spacing w:before="0" w:after="0" w:line="600" w:lineRule="exact"/>
        <w:jc w:val="center"/>
        <w:outlineLvl w:val="2"/>
        <w:rPr>
          <w:rFonts w:hint="eastAsia" w:ascii="宋体" w:hAnsi="宋体" w:eastAsia="宋体" w:cs="宋体"/>
          <w:bCs w:val="0"/>
          <w:color w:val="auto"/>
          <w:sz w:val="28"/>
          <w:szCs w:val="28"/>
          <w:highlight w:val="none"/>
        </w:rPr>
      </w:pPr>
      <w:r>
        <w:rPr>
          <w:rFonts w:hint="eastAsia" w:ascii="宋体" w:hAnsi="宋体" w:eastAsia="宋体" w:cs="宋体"/>
          <w:b w:val="0"/>
          <w:color w:val="auto"/>
          <w:sz w:val="28"/>
          <w:szCs w:val="28"/>
          <w:highlight w:val="none"/>
        </w:rPr>
        <w:br w:type="page"/>
      </w:r>
      <w:bookmarkStart w:id="134" w:name="_Toc23875"/>
      <w:bookmarkStart w:id="135" w:name="_Toc8519"/>
      <w:r>
        <w:rPr>
          <w:rFonts w:hint="eastAsia" w:ascii="宋体" w:hAnsi="宋体" w:eastAsia="宋体" w:cs="宋体"/>
          <w:bCs w:val="0"/>
          <w:color w:val="auto"/>
          <w:sz w:val="28"/>
          <w:szCs w:val="28"/>
          <w:highlight w:val="none"/>
        </w:rPr>
        <w:t>二、投  标  函</w:t>
      </w:r>
      <w:bookmarkEnd w:id="134"/>
      <w:bookmarkEnd w:id="135"/>
    </w:p>
    <w:p>
      <w:pPr>
        <w:spacing w:line="520" w:lineRule="exact"/>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（招标人名称）</w:t>
      </w:r>
      <w:r>
        <w:rPr>
          <w:rFonts w:hint="eastAsia" w:ascii="宋体" w:hAnsi="宋体" w:eastAsia="宋体" w:cs="宋体"/>
          <w:color w:val="auto"/>
          <w:sz w:val="24"/>
          <w:szCs w:val="24"/>
          <w:highlight w:val="none"/>
        </w:rPr>
        <w:t>：</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我方已仔细研究了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（项目名称）专业分包招标文件的全部内容，在熟知合同条款及所有要求后，愿意以唱标一览表的竞标报价，按分包合同约定实施和完成承包工程。</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1、我方承诺在投标有效期内不修改、撤销专业分包投标文件。</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2、如我方中标：</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（1）我方承诺在收到中标通知书后，在中标通知书规定的期限内与你方签订分包合同。</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（2）我方承诺在分包合同约定的期限内完成并移交全部合同工程。</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3、我方在此声明，所递交的专业分包投标文件及有关资料内容完整、真实和准确。</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4、在分包合同正式签署生效之前，本投标函连同你方的中标通知书将构成我们双方之间共同遵守的文件，对双方具有约束力。</w:t>
      </w:r>
    </w:p>
    <w:p>
      <w:pPr>
        <w:spacing w:line="520" w:lineRule="exact"/>
        <w:ind w:firstLine="480" w:firstLineChars="200"/>
        <w:rPr>
          <w:rFonts w:hint="eastAsia" w:ascii="宋体" w:hAnsi="宋体" w:eastAsia="宋体" w:cs="宋体"/>
          <w:color w:val="auto"/>
          <w:sz w:val="24"/>
          <w:szCs w:val="24"/>
          <w:highlight w:val="none"/>
        </w:rPr>
      </w:pPr>
    </w:p>
    <w:p>
      <w:pPr>
        <w:spacing w:line="520" w:lineRule="exact"/>
        <w:ind w:firstLine="480" w:firstLineChars="200"/>
        <w:rPr>
          <w:rFonts w:hint="eastAsia" w:ascii="宋体" w:hAnsi="宋体" w:eastAsia="宋体" w:cs="宋体"/>
          <w:color w:val="auto"/>
          <w:sz w:val="24"/>
          <w:szCs w:val="24"/>
          <w:highlight w:val="none"/>
        </w:rPr>
      </w:pP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 标 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w:t>
      </w:r>
      <w:r>
        <w:rPr>
          <w:rFonts w:hint="eastAsia" w:ascii="宋体" w:hAnsi="宋体" w:eastAsia="宋体" w:cs="宋体"/>
          <w:color w:val="auto"/>
          <w:szCs w:val="21"/>
          <w:highlight w:val="none"/>
          <w:lang w:val="en-US" w:eastAsia="zh-CN"/>
        </w:rPr>
        <w:t>公</w:t>
      </w:r>
      <w:r>
        <w:rPr>
          <w:rFonts w:hint="eastAsia" w:ascii="宋体" w:hAnsi="宋体" w:eastAsia="宋体" w:cs="宋体"/>
          <w:color w:val="auto"/>
          <w:szCs w:val="21"/>
          <w:highlight w:val="none"/>
        </w:rPr>
        <w:t>章）</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pPr>
        <w:spacing w:line="4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p>
    <w:p>
      <w:pPr>
        <w:spacing w:line="4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rPr>
          <w:rFonts w:hint="eastAsia" w:ascii="宋体" w:hAnsi="宋体" w:eastAsia="宋体" w:cs="宋体"/>
          <w:color w:val="auto"/>
          <w:sz w:val="24"/>
          <w:szCs w:val="24"/>
          <w:highlight w:val="none"/>
        </w:rPr>
      </w:pPr>
    </w:p>
    <w:p>
      <w:pPr>
        <w:jc w:val="center"/>
        <w:rPr>
          <w:rFonts w:hint="eastAsia" w:ascii="宋体" w:hAnsi="宋体" w:eastAsia="宋体" w:cs="宋体"/>
          <w:b/>
          <w:color w:val="auto"/>
          <w:kern w:val="0"/>
          <w:sz w:val="30"/>
          <w:highlight w:val="none"/>
        </w:rPr>
      </w:pPr>
    </w:p>
    <w:p>
      <w:pPr>
        <w:pStyle w:val="5"/>
        <w:spacing w:before="0" w:after="0" w:line="600" w:lineRule="exact"/>
        <w:jc w:val="center"/>
        <w:outlineLvl w:val="2"/>
        <w:rPr>
          <w:rFonts w:hint="eastAsia" w:ascii="宋体" w:hAnsi="宋体" w:eastAsia="宋体" w:cs="宋体"/>
          <w:bCs w:val="0"/>
          <w:color w:val="auto"/>
          <w:sz w:val="28"/>
          <w:szCs w:val="28"/>
          <w:highlight w:val="none"/>
        </w:rPr>
      </w:pPr>
      <w:r>
        <w:rPr>
          <w:rFonts w:hint="eastAsia" w:ascii="宋体" w:hAnsi="宋体" w:eastAsia="宋体" w:cs="宋体"/>
          <w:b w:val="0"/>
          <w:color w:val="auto"/>
          <w:sz w:val="28"/>
          <w:szCs w:val="28"/>
          <w:highlight w:val="none"/>
        </w:rPr>
        <w:br w:type="page"/>
      </w:r>
      <w:bookmarkStart w:id="136" w:name="_Toc3570"/>
      <w:bookmarkStart w:id="137" w:name="_Toc1206"/>
      <w:r>
        <w:rPr>
          <w:rFonts w:hint="eastAsia" w:ascii="宋体" w:hAnsi="宋体" w:eastAsia="宋体" w:cs="宋体"/>
          <w:bCs w:val="0"/>
          <w:color w:val="auto"/>
          <w:sz w:val="28"/>
          <w:szCs w:val="28"/>
          <w:highlight w:val="none"/>
        </w:rPr>
        <w:t>三、法定代表人身份证明</w:t>
      </w:r>
      <w:bookmarkEnd w:id="136"/>
      <w:bookmarkEnd w:id="137"/>
    </w:p>
    <w:p>
      <w:pPr>
        <w:autoSpaceDE w:val="0"/>
        <w:autoSpaceDN w:val="0"/>
        <w:adjustRightInd w:val="0"/>
        <w:spacing w:line="520" w:lineRule="exact"/>
        <w:jc w:val="left"/>
        <w:rPr>
          <w:rFonts w:hint="eastAsia" w:ascii="宋体" w:hAnsi="宋体" w:eastAsia="宋体" w:cs="宋体"/>
          <w:color w:val="auto"/>
          <w:kern w:val="0"/>
          <w:sz w:val="28"/>
          <w:highlight w:val="none"/>
        </w:rPr>
      </w:pPr>
    </w:p>
    <w:p>
      <w:pPr>
        <w:spacing w:line="5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 标 人：</w:t>
      </w:r>
      <w:r>
        <w:rPr>
          <w:rFonts w:hint="eastAsia" w:ascii="宋体" w:hAnsi="宋体" w:eastAsia="宋体" w:cs="宋体"/>
          <w:color w:val="auto"/>
          <w:szCs w:val="21"/>
          <w:highlight w:val="none"/>
          <w:u w:val="single"/>
        </w:rPr>
        <w:t xml:space="preserve">                                                                               </w:t>
      </w:r>
    </w:p>
    <w:p>
      <w:pPr>
        <w:spacing w:line="5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单位性质：</w:t>
      </w:r>
      <w:r>
        <w:rPr>
          <w:rFonts w:hint="eastAsia" w:ascii="宋体" w:hAnsi="宋体" w:eastAsia="宋体" w:cs="宋体"/>
          <w:color w:val="auto"/>
          <w:szCs w:val="21"/>
          <w:highlight w:val="none"/>
          <w:u w:val="single"/>
        </w:rPr>
        <w:t xml:space="preserve">                                                                                 </w:t>
      </w:r>
    </w:p>
    <w:p>
      <w:pPr>
        <w:spacing w:line="5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地    址： </w:t>
      </w:r>
      <w:r>
        <w:rPr>
          <w:rFonts w:hint="eastAsia" w:ascii="宋体" w:hAnsi="宋体" w:eastAsia="宋体" w:cs="宋体"/>
          <w:color w:val="auto"/>
          <w:szCs w:val="21"/>
          <w:highlight w:val="none"/>
          <w:u w:val="single"/>
        </w:rPr>
        <w:t xml:space="preserve">                                                                                </w:t>
      </w: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5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经营期限：</w:t>
      </w:r>
      <w:r>
        <w:rPr>
          <w:rFonts w:hint="eastAsia" w:ascii="宋体" w:hAnsi="宋体" w:eastAsia="宋体" w:cs="宋体"/>
          <w:color w:val="auto"/>
          <w:szCs w:val="21"/>
          <w:highlight w:val="none"/>
          <w:u w:val="single"/>
        </w:rPr>
        <w:t xml:space="preserve">                                                                                 </w:t>
      </w:r>
    </w:p>
    <w:p>
      <w:pPr>
        <w:spacing w:line="5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姓    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      别：</w:t>
      </w:r>
      <w:r>
        <w:rPr>
          <w:rFonts w:hint="eastAsia" w:ascii="宋体" w:hAnsi="宋体" w:eastAsia="宋体" w:cs="宋体"/>
          <w:color w:val="auto"/>
          <w:szCs w:val="21"/>
          <w:highlight w:val="none"/>
          <w:u w:val="single"/>
        </w:rPr>
        <w:t xml:space="preserve">                                    </w:t>
      </w: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（投标人名称）的法定代表人。</w:t>
      </w: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pPr>
        <w:autoSpaceDE w:val="0"/>
        <w:autoSpaceDN w:val="0"/>
        <w:adjustRightInd w:val="0"/>
        <w:spacing w:line="520" w:lineRule="exact"/>
        <w:jc w:val="right"/>
        <w:rPr>
          <w:rFonts w:hint="eastAsia" w:ascii="宋体" w:hAnsi="宋体" w:eastAsia="宋体" w:cs="宋体"/>
          <w:color w:val="auto"/>
          <w:kern w:val="0"/>
          <w:sz w:val="28"/>
          <w:highlight w:val="none"/>
        </w:rPr>
      </w:pPr>
    </w:p>
    <w:p>
      <w:pPr>
        <w:spacing w:line="5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附：法定代表人二代身份证复印件</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pPr>
        <w:rPr>
          <w:rFonts w:hint="eastAsia" w:ascii="宋体" w:hAnsi="宋体" w:eastAsia="宋体" w:cs="宋体"/>
          <w:color w:val="auto"/>
          <w:highlight w:val="none"/>
        </w:rPr>
      </w:pP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pPr>
        <w:rPr>
          <w:rFonts w:hint="eastAsia" w:ascii="宋体" w:hAnsi="宋体" w:eastAsia="宋体" w:cs="宋体"/>
          <w:color w:val="auto"/>
          <w:highlight w:val="none"/>
        </w:rPr>
      </w:pP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rPr>
          <w:rFonts w:hint="eastAsia" w:ascii="宋体" w:hAnsi="宋体" w:eastAsia="宋体" w:cs="宋体"/>
          <w:b/>
          <w:color w:val="auto"/>
          <w:kern w:val="0"/>
          <w:sz w:val="30"/>
          <w:highlight w:val="none"/>
        </w:rPr>
      </w:pPr>
    </w:p>
    <w:p>
      <w:pPr>
        <w:spacing w:line="360" w:lineRule="auto"/>
        <w:rPr>
          <w:rFonts w:hint="eastAsia" w:ascii="宋体" w:hAnsi="宋体" w:eastAsia="宋体" w:cs="宋体"/>
          <w:color w:val="auto"/>
          <w:highlight w:val="none"/>
        </w:rPr>
      </w:pPr>
    </w:p>
    <w:p>
      <w:pPr>
        <w:pStyle w:val="5"/>
        <w:spacing w:before="0" w:after="0" w:line="600" w:lineRule="exact"/>
        <w:jc w:val="center"/>
        <w:outlineLvl w:val="2"/>
        <w:rPr>
          <w:rFonts w:hint="eastAsia" w:ascii="宋体" w:hAnsi="宋体" w:eastAsia="宋体" w:cs="宋体"/>
          <w:bCs w:val="0"/>
          <w:color w:val="auto"/>
          <w:sz w:val="28"/>
          <w:szCs w:val="28"/>
          <w:highlight w:val="none"/>
        </w:rPr>
      </w:pPr>
      <w:r>
        <w:rPr>
          <w:rFonts w:hint="eastAsia" w:ascii="宋体" w:hAnsi="宋体" w:eastAsia="宋体" w:cs="宋体"/>
          <w:b w:val="0"/>
          <w:color w:val="auto"/>
          <w:sz w:val="28"/>
          <w:szCs w:val="28"/>
          <w:highlight w:val="none"/>
        </w:rPr>
        <w:br w:type="page"/>
      </w:r>
      <w:bookmarkStart w:id="138" w:name="_Toc14207"/>
      <w:bookmarkStart w:id="139" w:name="_Toc21140"/>
      <w:r>
        <w:rPr>
          <w:rFonts w:hint="eastAsia" w:ascii="宋体" w:hAnsi="宋体" w:eastAsia="宋体" w:cs="宋体"/>
          <w:bCs w:val="0"/>
          <w:color w:val="auto"/>
          <w:sz w:val="28"/>
          <w:szCs w:val="28"/>
          <w:highlight w:val="none"/>
        </w:rPr>
        <w:t>四、授权委托书</w:t>
      </w:r>
      <w:bookmarkEnd w:id="138"/>
      <w:bookmarkEnd w:id="139"/>
    </w:p>
    <w:p>
      <w:pPr>
        <w:ind w:firstLine="3313" w:firstLineChars="1100"/>
        <w:rPr>
          <w:rFonts w:hint="eastAsia" w:ascii="宋体" w:hAnsi="宋体" w:eastAsia="宋体" w:cs="宋体"/>
          <w:b/>
          <w:color w:val="auto"/>
          <w:kern w:val="0"/>
          <w:sz w:val="30"/>
          <w:highlight w:val="none"/>
        </w:rPr>
      </w:pP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本人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（姓名）系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（投标人名称）的法定代表人，现委托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（姓名）为我方代理人。代理人根据授权，以我方名义签署、澄清、说明、补正、递交、撤回、修改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（项目名称）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专业分包投标文件、签订合同和处理有关事宜，其法律后果由我方承担。</w:t>
      </w: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before="317" w:beforeLines="100" w:after="317" w:afterLines="100"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代理人无转委托权。</w:t>
      </w:r>
    </w:p>
    <w:p>
      <w:pPr>
        <w:spacing w:after="317" w:afterLines="100" w:line="5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附：委托代理人二代身份证复印件</w:t>
      </w:r>
    </w:p>
    <w:p>
      <w:pPr>
        <w:spacing w:after="317" w:afterLines="100" w:line="500" w:lineRule="exact"/>
        <w:ind w:firstLine="422" w:firstLineChars="200"/>
        <w:rPr>
          <w:rFonts w:hint="eastAsia" w:ascii="宋体" w:hAnsi="宋体" w:eastAsia="宋体" w:cs="宋体"/>
          <w:b/>
          <w:color w:val="auto"/>
          <w:szCs w:val="21"/>
          <w:highlight w:val="none"/>
        </w:rPr>
      </w:pPr>
    </w:p>
    <w:p>
      <w:pPr>
        <w:autoSpaceDE w:val="0"/>
        <w:autoSpaceDN w:val="0"/>
        <w:adjustRightInd w:val="0"/>
        <w:spacing w:line="440" w:lineRule="exact"/>
        <w:jc w:val="left"/>
        <w:textAlignment w:val="baseline"/>
        <w:rPr>
          <w:rFonts w:hint="eastAsia" w:ascii="宋体" w:hAnsi="宋体" w:eastAsia="宋体" w:cs="宋体"/>
          <w:color w:val="auto"/>
          <w:kern w:val="0"/>
          <w:sz w:val="28"/>
          <w:highlight w:val="none"/>
        </w:rPr>
      </w:pPr>
    </w:p>
    <w:p>
      <w:pPr>
        <w:autoSpaceDE w:val="0"/>
        <w:autoSpaceDN w:val="0"/>
        <w:adjustRightInd w:val="0"/>
        <w:spacing w:line="440" w:lineRule="exact"/>
        <w:jc w:val="left"/>
        <w:textAlignment w:val="baseline"/>
        <w:rPr>
          <w:rFonts w:hint="eastAsia" w:ascii="宋体" w:hAnsi="宋体" w:eastAsia="宋体" w:cs="宋体"/>
          <w:color w:val="auto"/>
          <w:kern w:val="0"/>
          <w:sz w:val="28"/>
          <w:highlight w:val="none"/>
        </w:rPr>
      </w:pPr>
    </w:p>
    <w:p>
      <w:pPr>
        <w:spacing w:line="400" w:lineRule="exact"/>
        <w:ind w:firstLine="420" w:firstLineChars="200"/>
        <w:rPr>
          <w:rFonts w:hint="eastAsia" w:ascii="宋体" w:hAnsi="宋体" w:eastAsia="宋体" w:cs="宋体"/>
          <w:color w:val="auto"/>
          <w:szCs w:val="21"/>
          <w:highlight w:val="none"/>
        </w:rPr>
      </w:pPr>
    </w:p>
    <w:p>
      <w:pPr>
        <w:spacing w:line="400" w:lineRule="exact"/>
        <w:ind w:firstLine="420" w:firstLineChars="200"/>
        <w:rPr>
          <w:rFonts w:hint="eastAsia" w:ascii="宋体" w:hAnsi="宋体" w:eastAsia="宋体" w:cs="宋体"/>
          <w:color w:val="auto"/>
          <w:szCs w:val="21"/>
          <w:highlight w:val="none"/>
        </w:rPr>
      </w:pPr>
    </w:p>
    <w:p>
      <w:pPr>
        <w:spacing w:line="400" w:lineRule="exact"/>
        <w:ind w:firstLine="420" w:firstLineChars="200"/>
        <w:rPr>
          <w:rFonts w:hint="eastAsia" w:ascii="宋体" w:hAnsi="宋体" w:eastAsia="宋体" w:cs="宋体"/>
          <w:color w:val="auto"/>
          <w:szCs w:val="21"/>
          <w:highlight w:val="none"/>
        </w:rPr>
      </w:pPr>
    </w:p>
    <w:p>
      <w:pPr>
        <w:spacing w:line="400" w:lineRule="exact"/>
        <w:ind w:firstLine="420" w:firstLineChars="200"/>
        <w:rPr>
          <w:rFonts w:hint="eastAsia" w:ascii="宋体" w:hAnsi="宋体" w:eastAsia="宋体" w:cs="宋体"/>
          <w:color w:val="auto"/>
          <w:szCs w:val="21"/>
          <w:highlight w:val="none"/>
        </w:rPr>
      </w:pPr>
    </w:p>
    <w:p>
      <w:pPr>
        <w:spacing w:line="400" w:lineRule="exact"/>
        <w:ind w:firstLine="420" w:firstLineChars="200"/>
        <w:rPr>
          <w:rFonts w:hint="eastAsia" w:ascii="宋体" w:hAnsi="宋体" w:eastAsia="宋体" w:cs="宋体"/>
          <w:color w:val="auto"/>
          <w:szCs w:val="21"/>
          <w:highlight w:val="none"/>
        </w:rPr>
      </w:pP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  标  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pPr>
        <w:rPr>
          <w:rFonts w:hint="eastAsia" w:ascii="宋体" w:hAnsi="宋体" w:eastAsia="宋体" w:cs="宋体"/>
          <w:color w:val="auto"/>
          <w:highlight w:val="none"/>
        </w:rPr>
      </w:pP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pPr>
        <w:rPr>
          <w:rFonts w:hint="eastAsia" w:ascii="宋体" w:hAnsi="宋体" w:eastAsia="宋体" w:cs="宋体"/>
          <w:color w:val="auto"/>
          <w:highlight w:val="none"/>
        </w:rPr>
      </w:pPr>
    </w:p>
    <w:p>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p>
    <w:p>
      <w:pPr>
        <w:rPr>
          <w:rFonts w:hint="eastAsia" w:ascii="宋体" w:hAnsi="宋体" w:eastAsia="宋体" w:cs="宋体"/>
          <w:color w:val="auto"/>
          <w:highlight w:val="none"/>
        </w:rPr>
      </w:pP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（签字或盖章） </w:t>
      </w:r>
    </w:p>
    <w:p>
      <w:pPr>
        <w:rPr>
          <w:rFonts w:hint="eastAsia" w:ascii="宋体" w:hAnsi="宋体" w:eastAsia="宋体" w:cs="宋体"/>
          <w:color w:val="auto"/>
          <w:highlight w:val="none"/>
        </w:rPr>
      </w:pP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pStyle w:val="5"/>
        <w:spacing w:line="415" w:lineRule="auto"/>
        <w:ind w:firstLine="560" w:firstLineChars="200"/>
        <w:jc w:val="center"/>
        <w:outlineLvl w:val="2"/>
        <w:rPr>
          <w:rFonts w:hint="eastAsia" w:ascii="宋体" w:hAnsi="宋体" w:eastAsia="宋体" w:cs="宋体"/>
          <w:bCs w:val="0"/>
          <w:color w:val="auto"/>
          <w:sz w:val="28"/>
          <w:szCs w:val="28"/>
          <w:highlight w:val="none"/>
        </w:rPr>
      </w:pPr>
      <w:r>
        <w:rPr>
          <w:rFonts w:hint="eastAsia" w:ascii="宋体" w:hAnsi="宋体" w:eastAsia="宋体" w:cs="宋体"/>
          <w:b w:val="0"/>
          <w:color w:val="auto"/>
          <w:sz w:val="28"/>
          <w:szCs w:val="28"/>
          <w:highlight w:val="none"/>
        </w:rPr>
        <w:br w:type="page"/>
      </w:r>
      <w:bookmarkStart w:id="140" w:name="_Toc9275"/>
      <w:bookmarkStart w:id="141" w:name="_Toc15722"/>
      <w:r>
        <w:rPr>
          <w:rFonts w:hint="eastAsia" w:ascii="宋体" w:hAnsi="宋体" w:eastAsia="宋体" w:cs="宋体"/>
          <w:bCs w:val="0"/>
          <w:color w:val="auto"/>
          <w:sz w:val="28"/>
          <w:szCs w:val="28"/>
          <w:highlight w:val="none"/>
        </w:rPr>
        <w:t>五、投标保证金缴纳凭证</w:t>
      </w:r>
      <w:bookmarkEnd w:id="140"/>
      <w:bookmarkEnd w:id="141"/>
    </w:p>
    <w:p>
      <w:pPr>
        <w:spacing w:line="460" w:lineRule="exact"/>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附：投标保证金缴纳凭据复印件（加盖投标人公章）</w:t>
      </w:r>
    </w:p>
    <w:p>
      <w:pPr>
        <w:rPr>
          <w:rFonts w:hint="eastAsia" w:ascii="宋体" w:hAnsi="宋体" w:eastAsia="宋体" w:cs="宋体"/>
          <w:color w:val="auto"/>
          <w:sz w:val="24"/>
          <w:szCs w:val="24"/>
          <w:highlight w:val="none"/>
        </w:rPr>
      </w:pPr>
    </w:p>
    <w:p>
      <w:pPr>
        <w:spacing w:line="460" w:lineRule="exact"/>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pStyle w:val="5"/>
        <w:spacing w:line="415" w:lineRule="auto"/>
        <w:ind w:firstLine="560" w:firstLineChars="200"/>
        <w:jc w:val="center"/>
        <w:outlineLvl w:val="2"/>
        <w:rPr>
          <w:rFonts w:hint="eastAsia" w:ascii="宋体" w:hAnsi="宋体" w:eastAsia="宋体" w:cs="宋体"/>
          <w:bCs w:val="0"/>
          <w:color w:val="auto"/>
          <w:sz w:val="28"/>
          <w:szCs w:val="28"/>
          <w:highlight w:val="none"/>
        </w:rPr>
      </w:pPr>
      <w:r>
        <w:rPr>
          <w:rFonts w:hint="eastAsia" w:ascii="宋体" w:hAnsi="宋体" w:eastAsia="宋体" w:cs="宋体"/>
          <w:b w:val="0"/>
          <w:color w:val="auto"/>
          <w:sz w:val="28"/>
          <w:szCs w:val="28"/>
          <w:highlight w:val="none"/>
        </w:rPr>
        <w:br w:type="page"/>
      </w:r>
      <w:bookmarkStart w:id="142" w:name="_Toc3403"/>
      <w:bookmarkStart w:id="143" w:name="_Toc2248"/>
      <w:r>
        <w:rPr>
          <w:rFonts w:hint="eastAsia" w:ascii="宋体" w:hAnsi="宋体" w:eastAsia="宋体" w:cs="宋体"/>
          <w:bCs w:val="0"/>
          <w:color w:val="auto"/>
          <w:sz w:val="28"/>
          <w:szCs w:val="28"/>
          <w:highlight w:val="none"/>
        </w:rPr>
        <w:t>六、投标单位基本情况</w:t>
      </w:r>
      <w:bookmarkEnd w:id="142"/>
      <w:bookmarkEnd w:id="143"/>
    </w:p>
    <w:p>
      <w:pPr>
        <w:pStyle w:val="32"/>
        <w:spacing w:line="360" w:lineRule="auto"/>
        <w:ind w:firstLine="422" w:firstLineChars="200"/>
        <w:jc w:val="center"/>
        <w:outlineLvl w:val="3"/>
        <w:rPr>
          <w:rFonts w:hint="eastAsia" w:ascii="宋体" w:hAnsi="宋体" w:eastAsia="宋体" w:cs="宋体"/>
          <w:b/>
          <w:color w:val="auto"/>
          <w:sz w:val="21"/>
          <w:szCs w:val="21"/>
          <w:highlight w:val="none"/>
        </w:rPr>
      </w:pPr>
      <w:bookmarkStart w:id="144" w:name="_Toc32619"/>
      <w:bookmarkStart w:id="145" w:name="_Toc7046"/>
      <w:bookmarkStart w:id="146" w:name="_Toc16895"/>
      <w:r>
        <w:rPr>
          <w:rFonts w:hint="eastAsia" w:ascii="宋体" w:hAnsi="宋体" w:eastAsia="宋体" w:cs="宋体"/>
          <w:b/>
          <w:color w:val="auto"/>
          <w:sz w:val="21"/>
          <w:szCs w:val="21"/>
          <w:highlight w:val="none"/>
        </w:rPr>
        <w:t>1.投标单位基本情况表</w:t>
      </w:r>
      <w:bookmarkEnd w:id="144"/>
      <w:bookmarkEnd w:id="145"/>
      <w:bookmarkEnd w:id="146"/>
    </w:p>
    <w:tbl>
      <w:tblPr>
        <w:tblStyle w:val="24"/>
        <w:tblW w:w="10093" w:type="dxa"/>
        <w:tblInd w:w="-74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2"/>
        <w:gridCol w:w="888"/>
        <w:gridCol w:w="1947"/>
        <w:gridCol w:w="1134"/>
        <w:gridCol w:w="1134"/>
        <w:gridCol w:w="37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trPr>
        <w:tc>
          <w:tcPr>
            <w:tcW w:w="2130" w:type="dxa"/>
            <w:gridSpan w:val="2"/>
            <w:tcBorders>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公司名称</w:t>
            </w:r>
          </w:p>
        </w:tc>
        <w:tc>
          <w:tcPr>
            <w:tcW w:w="7963" w:type="dxa"/>
            <w:gridSpan w:val="4"/>
            <w:tcBorders>
              <w:left w:val="single" w:color="auto" w:sz="4" w:space="0"/>
            </w:tcBorders>
            <w:vAlign w:val="center"/>
          </w:tcPr>
          <w:p>
            <w:pPr>
              <w:spacing w:line="440" w:lineRule="exact"/>
              <w:ind w:firstLine="420" w:firstLineChars="20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2130" w:type="dxa"/>
            <w:gridSpan w:val="2"/>
            <w:tcBorders>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公司地址</w:t>
            </w:r>
          </w:p>
        </w:tc>
        <w:tc>
          <w:tcPr>
            <w:tcW w:w="7963" w:type="dxa"/>
            <w:gridSpan w:val="4"/>
            <w:tcBorders>
              <w:left w:val="single" w:color="auto" w:sz="4" w:space="0"/>
            </w:tcBorders>
            <w:vAlign w:val="center"/>
          </w:tcPr>
          <w:p>
            <w:pPr>
              <w:spacing w:line="440" w:lineRule="exact"/>
              <w:ind w:firstLine="420" w:firstLineChars="20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2130" w:type="dxa"/>
            <w:gridSpan w:val="2"/>
            <w:tcBorders>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公司性质</w:t>
            </w:r>
          </w:p>
        </w:tc>
        <w:tc>
          <w:tcPr>
            <w:tcW w:w="1947" w:type="dxa"/>
            <w:tcBorders>
              <w:left w:val="single" w:color="auto" w:sz="4" w:space="0"/>
              <w:right w:val="single" w:color="auto" w:sz="4" w:space="0"/>
            </w:tcBorders>
            <w:vAlign w:val="center"/>
          </w:tcPr>
          <w:p>
            <w:pPr>
              <w:spacing w:line="440" w:lineRule="exact"/>
              <w:ind w:firstLine="420" w:firstLineChars="200"/>
              <w:jc w:val="center"/>
              <w:rPr>
                <w:rFonts w:hint="eastAsia" w:ascii="宋体" w:hAnsi="宋体" w:eastAsia="宋体" w:cs="宋体"/>
                <w:color w:val="auto"/>
                <w:szCs w:val="21"/>
                <w:highlight w:val="none"/>
              </w:rPr>
            </w:pPr>
          </w:p>
        </w:tc>
        <w:tc>
          <w:tcPr>
            <w:tcW w:w="2268" w:type="dxa"/>
            <w:gridSpan w:val="2"/>
            <w:tcBorders>
              <w:left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公司类型</w:t>
            </w:r>
          </w:p>
        </w:tc>
        <w:tc>
          <w:tcPr>
            <w:tcW w:w="3748"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sym w:font="Wingdings" w:char="00A8"/>
            </w:r>
            <w:r>
              <w:rPr>
                <w:rFonts w:hint="eastAsia" w:ascii="宋体" w:hAnsi="宋体" w:eastAsia="宋体" w:cs="宋体"/>
                <w:color w:val="auto"/>
                <w:sz w:val="22"/>
                <w:szCs w:val="22"/>
                <w:highlight w:val="none"/>
                <w:lang w:val="en-US" w:eastAsia="zh-CN"/>
              </w:rPr>
              <w:t xml:space="preserve">大型企业   </w:t>
            </w:r>
            <w:r>
              <w:rPr>
                <w:rFonts w:hint="eastAsia" w:ascii="宋体" w:hAnsi="宋体" w:eastAsia="宋体" w:cs="宋体"/>
                <w:color w:val="auto"/>
                <w:sz w:val="22"/>
                <w:szCs w:val="22"/>
                <w:highlight w:val="none"/>
              </w:rPr>
              <w:sym w:font="Wingdings" w:char="00A8"/>
            </w:r>
            <w:r>
              <w:rPr>
                <w:rFonts w:hint="eastAsia" w:ascii="宋体" w:hAnsi="宋体" w:eastAsia="宋体" w:cs="宋体"/>
                <w:color w:val="auto"/>
                <w:sz w:val="22"/>
                <w:szCs w:val="22"/>
                <w:highlight w:val="none"/>
                <w:lang w:val="en-US" w:eastAsia="zh-CN"/>
              </w:rPr>
              <w:t>中型企业</w:t>
            </w:r>
          </w:p>
          <w:p>
            <w:pPr>
              <w:spacing w:line="440" w:lineRule="exact"/>
              <w:jc w:val="both"/>
              <w:rPr>
                <w:rFonts w:hint="eastAsia" w:ascii="宋体" w:hAnsi="宋体" w:eastAsia="宋体" w:cs="宋体"/>
                <w:color w:val="auto"/>
                <w:szCs w:val="21"/>
                <w:highlight w:val="none"/>
              </w:rPr>
            </w:pPr>
            <w:r>
              <w:rPr>
                <w:rFonts w:hint="eastAsia" w:ascii="宋体" w:hAnsi="宋体" w:eastAsia="宋体" w:cs="宋体"/>
                <w:color w:val="auto"/>
                <w:sz w:val="22"/>
                <w:szCs w:val="22"/>
                <w:highlight w:val="none"/>
              </w:rPr>
              <w:sym w:font="Wingdings" w:char="00A8"/>
            </w:r>
            <w:r>
              <w:rPr>
                <w:rFonts w:hint="eastAsia" w:ascii="宋体" w:hAnsi="宋体" w:eastAsia="宋体" w:cs="宋体"/>
                <w:color w:val="auto"/>
                <w:sz w:val="22"/>
                <w:szCs w:val="22"/>
                <w:highlight w:val="none"/>
                <w:lang w:val="en-US" w:eastAsia="zh-CN"/>
              </w:rPr>
              <w:t xml:space="preserve">小型企业   </w:t>
            </w:r>
            <w:r>
              <w:rPr>
                <w:rFonts w:hint="eastAsia" w:ascii="宋体" w:hAnsi="宋体" w:eastAsia="宋体" w:cs="宋体"/>
                <w:color w:val="auto"/>
                <w:sz w:val="22"/>
                <w:szCs w:val="22"/>
                <w:highlight w:val="none"/>
              </w:rPr>
              <w:sym w:font="Wingdings" w:char="00A8"/>
            </w:r>
            <w:r>
              <w:rPr>
                <w:rFonts w:hint="eastAsia" w:ascii="宋体" w:hAnsi="宋体" w:eastAsia="宋体" w:cs="宋体"/>
                <w:color w:val="auto"/>
                <w:sz w:val="22"/>
                <w:szCs w:val="22"/>
                <w:highlight w:val="none"/>
                <w:lang w:val="en-US" w:eastAsia="zh-CN"/>
              </w:rPr>
              <w:t>微型企业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trPr>
        <w:tc>
          <w:tcPr>
            <w:tcW w:w="2130" w:type="dxa"/>
            <w:gridSpan w:val="2"/>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1947" w:type="dxa"/>
            <w:vAlign w:val="center"/>
          </w:tcPr>
          <w:p>
            <w:pPr>
              <w:spacing w:line="440" w:lineRule="exact"/>
              <w:ind w:firstLine="420" w:firstLineChars="200"/>
              <w:jc w:val="center"/>
              <w:rPr>
                <w:rFonts w:hint="eastAsia" w:ascii="宋体" w:hAnsi="宋体" w:eastAsia="宋体" w:cs="宋体"/>
                <w:color w:val="auto"/>
                <w:szCs w:val="21"/>
                <w:highlight w:val="none"/>
              </w:rPr>
            </w:pPr>
          </w:p>
        </w:tc>
        <w:tc>
          <w:tcPr>
            <w:tcW w:w="2268" w:type="dxa"/>
            <w:gridSpan w:val="2"/>
            <w:tcBorders>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注册资金</w:t>
            </w:r>
          </w:p>
        </w:tc>
        <w:tc>
          <w:tcPr>
            <w:tcW w:w="3748" w:type="dxa"/>
            <w:tcBorders>
              <w:left w:val="single" w:color="auto" w:sz="4" w:space="0"/>
            </w:tcBorders>
            <w:vAlign w:val="center"/>
          </w:tcPr>
          <w:p>
            <w:pPr>
              <w:spacing w:line="440" w:lineRule="exact"/>
              <w:ind w:firstLine="420" w:firstLineChars="20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2130" w:type="dxa"/>
            <w:gridSpan w:val="2"/>
            <w:vMerge w:val="restart"/>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注册日期</w:t>
            </w:r>
          </w:p>
        </w:tc>
        <w:tc>
          <w:tcPr>
            <w:tcW w:w="1947" w:type="dxa"/>
            <w:vMerge w:val="restart"/>
            <w:vAlign w:val="center"/>
          </w:tcPr>
          <w:p>
            <w:pPr>
              <w:spacing w:line="440" w:lineRule="exact"/>
              <w:ind w:firstLine="420" w:firstLineChars="200"/>
              <w:jc w:val="center"/>
              <w:rPr>
                <w:rFonts w:hint="eastAsia" w:ascii="宋体" w:hAnsi="宋体" w:eastAsia="宋体" w:cs="宋体"/>
                <w:color w:val="auto"/>
                <w:szCs w:val="21"/>
                <w:highlight w:val="none"/>
              </w:rPr>
            </w:pPr>
          </w:p>
        </w:tc>
        <w:tc>
          <w:tcPr>
            <w:tcW w:w="2268" w:type="dxa"/>
            <w:gridSpan w:val="2"/>
            <w:tcBorders>
              <w:bottom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基本账户开户银行</w:t>
            </w:r>
          </w:p>
        </w:tc>
        <w:tc>
          <w:tcPr>
            <w:tcW w:w="3748" w:type="dxa"/>
            <w:tcBorders>
              <w:bottom w:val="single" w:color="auto" w:sz="4" w:space="0"/>
            </w:tcBorders>
            <w:vAlign w:val="center"/>
          </w:tcPr>
          <w:p>
            <w:pPr>
              <w:spacing w:line="440" w:lineRule="exact"/>
              <w:ind w:firstLine="420" w:firstLineChars="20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2130" w:type="dxa"/>
            <w:gridSpan w:val="2"/>
            <w:vMerge w:val="continue"/>
            <w:vAlign w:val="center"/>
          </w:tcPr>
          <w:p>
            <w:pPr>
              <w:spacing w:line="440" w:lineRule="exact"/>
              <w:ind w:firstLine="420" w:firstLineChars="200"/>
              <w:jc w:val="center"/>
              <w:rPr>
                <w:rFonts w:hint="eastAsia" w:ascii="宋体" w:hAnsi="宋体" w:eastAsia="宋体" w:cs="宋体"/>
                <w:color w:val="auto"/>
                <w:szCs w:val="21"/>
                <w:highlight w:val="none"/>
              </w:rPr>
            </w:pPr>
          </w:p>
        </w:tc>
        <w:tc>
          <w:tcPr>
            <w:tcW w:w="1947" w:type="dxa"/>
            <w:vMerge w:val="continue"/>
            <w:vAlign w:val="center"/>
          </w:tcPr>
          <w:p>
            <w:pPr>
              <w:spacing w:line="440" w:lineRule="exact"/>
              <w:ind w:firstLine="420" w:firstLineChars="200"/>
              <w:jc w:val="center"/>
              <w:rPr>
                <w:rFonts w:hint="eastAsia" w:ascii="宋体" w:hAnsi="宋体" w:eastAsia="宋体" w:cs="宋体"/>
                <w:color w:val="auto"/>
                <w:szCs w:val="21"/>
                <w:highlight w:val="none"/>
              </w:rPr>
            </w:pPr>
          </w:p>
        </w:tc>
        <w:tc>
          <w:tcPr>
            <w:tcW w:w="2268" w:type="dxa"/>
            <w:gridSpan w:val="2"/>
            <w:tcBorders>
              <w:top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基本账户账号</w:t>
            </w:r>
          </w:p>
        </w:tc>
        <w:tc>
          <w:tcPr>
            <w:tcW w:w="3748" w:type="dxa"/>
            <w:tcBorders>
              <w:top w:val="single" w:color="auto" w:sz="4" w:space="0"/>
            </w:tcBorders>
            <w:vAlign w:val="center"/>
          </w:tcPr>
          <w:p>
            <w:pPr>
              <w:spacing w:line="440" w:lineRule="exact"/>
              <w:ind w:firstLine="420" w:firstLineChars="20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2130" w:type="dxa"/>
            <w:gridSpan w:val="2"/>
            <w:vMerge w:val="restart"/>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p>
        </w:tc>
        <w:tc>
          <w:tcPr>
            <w:tcW w:w="1947" w:type="dxa"/>
            <w:vMerge w:val="restart"/>
            <w:vAlign w:val="center"/>
          </w:tcPr>
          <w:p>
            <w:pPr>
              <w:spacing w:line="440" w:lineRule="exact"/>
              <w:ind w:firstLine="420" w:firstLineChars="200"/>
              <w:jc w:val="center"/>
              <w:rPr>
                <w:rFonts w:hint="eastAsia" w:ascii="宋体" w:hAnsi="宋体" w:eastAsia="宋体" w:cs="宋体"/>
                <w:color w:val="auto"/>
                <w:szCs w:val="21"/>
                <w:highlight w:val="none"/>
              </w:rPr>
            </w:pPr>
          </w:p>
        </w:tc>
        <w:tc>
          <w:tcPr>
            <w:tcW w:w="1134" w:type="dxa"/>
            <w:vMerge w:val="restart"/>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1134"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手机</w:t>
            </w:r>
          </w:p>
        </w:tc>
        <w:tc>
          <w:tcPr>
            <w:tcW w:w="3748" w:type="dxa"/>
            <w:vAlign w:val="center"/>
          </w:tcPr>
          <w:p>
            <w:pPr>
              <w:spacing w:line="440" w:lineRule="exact"/>
              <w:ind w:firstLine="420" w:firstLineChars="20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2130" w:type="dxa"/>
            <w:gridSpan w:val="2"/>
            <w:vMerge w:val="continue"/>
            <w:vAlign w:val="center"/>
          </w:tcPr>
          <w:p>
            <w:pPr>
              <w:spacing w:line="440" w:lineRule="exact"/>
              <w:ind w:firstLine="420" w:firstLineChars="200"/>
              <w:jc w:val="center"/>
              <w:rPr>
                <w:rFonts w:hint="eastAsia" w:ascii="宋体" w:hAnsi="宋体" w:eastAsia="宋体" w:cs="宋体"/>
                <w:color w:val="auto"/>
                <w:szCs w:val="21"/>
                <w:highlight w:val="none"/>
              </w:rPr>
            </w:pPr>
          </w:p>
        </w:tc>
        <w:tc>
          <w:tcPr>
            <w:tcW w:w="1947" w:type="dxa"/>
            <w:vMerge w:val="continue"/>
            <w:vAlign w:val="center"/>
          </w:tcPr>
          <w:p>
            <w:pPr>
              <w:spacing w:line="440" w:lineRule="exact"/>
              <w:ind w:firstLine="420" w:firstLineChars="200"/>
              <w:jc w:val="center"/>
              <w:rPr>
                <w:rFonts w:hint="eastAsia" w:ascii="宋体" w:hAnsi="宋体" w:eastAsia="宋体" w:cs="宋体"/>
                <w:color w:val="auto"/>
                <w:szCs w:val="21"/>
                <w:highlight w:val="none"/>
              </w:rPr>
            </w:pPr>
          </w:p>
        </w:tc>
        <w:tc>
          <w:tcPr>
            <w:tcW w:w="1134" w:type="dxa"/>
            <w:vMerge w:val="continue"/>
            <w:vAlign w:val="center"/>
          </w:tcPr>
          <w:p>
            <w:pPr>
              <w:spacing w:line="440" w:lineRule="exact"/>
              <w:ind w:firstLine="420" w:firstLineChars="200"/>
              <w:jc w:val="center"/>
              <w:rPr>
                <w:rFonts w:hint="eastAsia" w:ascii="宋体" w:hAnsi="宋体" w:eastAsia="宋体" w:cs="宋体"/>
                <w:color w:val="auto"/>
                <w:szCs w:val="21"/>
                <w:highlight w:val="none"/>
              </w:rPr>
            </w:pPr>
          </w:p>
        </w:tc>
        <w:tc>
          <w:tcPr>
            <w:tcW w:w="1134"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固话</w:t>
            </w:r>
          </w:p>
        </w:tc>
        <w:tc>
          <w:tcPr>
            <w:tcW w:w="3748" w:type="dxa"/>
            <w:vAlign w:val="center"/>
          </w:tcPr>
          <w:p>
            <w:pPr>
              <w:spacing w:line="440" w:lineRule="exact"/>
              <w:ind w:firstLine="420" w:firstLineChars="20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2130" w:type="dxa"/>
            <w:gridSpan w:val="2"/>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联系传真</w:t>
            </w:r>
          </w:p>
        </w:tc>
        <w:tc>
          <w:tcPr>
            <w:tcW w:w="1947" w:type="dxa"/>
            <w:vAlign w:val="center"/>
          </w:tcPr>
          <w:p>
            <w:pPr>
              <w:spacing w:line="440" w:lineRule="exact"/>
              <w:ind w:firstLine="420" w:firstLineChars="200"/>
              <w:jc w:val="center"/>
              <w:rPr>
                <w:rFonts w:hint="eastAsia" w:ascii="宋体" w:hAnsi="宋体" w:eastAsia="宋体" w:cs="宋体"/>
                <w:color w:val="auto"/>
                <w:szCs w:val="21"/>
                <w:highlight w:val="none"/>
              </w:rPr>
            </w:pPr>
          </w:p>
        </w:tc>
        <w:tc>
          <w:tcPr>
            <w:tcW w:w="2268" w:type="dxa"/>
            <w:gridSpan w:val="2"/>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联系邮箱</w:t>
            </w:r>
          </w:p>
        </w:tc>
        <w:tc>
          <w:tcPr>
            <w:tcW w:w="3748" w:type="dxa"/>
            <w:vAlign w:val="center"/>
          </w:tcPr>
          <w:p>
            <w:pPr>
              <w:spacing w:line="440" w:lineRule="exact"/>
              <w:ind w:firstLine="420" w:firstLineChars="20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3" w:hRule="atLeast"/>
        </w:trPr>
        <w:tc>
          <w:tcPr>
            <w:tcW w:w="2130" w:type="dxa"/>
            <w:gridSpan w:val="2"/>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经营范围</w:t>
            </w:r>
          </w:p>
        </w:tc>
        <w:tc>
          <w:tcPr>
            <w:tcW w:w="7963" w:type="dxa"/>
            <w:gridSpan w:val="4"/>
            <w:vAlign w:val="center"/>
          </w:tcPr>
          <w:p>
            <w:pPr>
              <w:spacing w:line="440" w:lineRule="exact"/>
              <w:ind w:firstLine="420" w:firstLineChars="20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3" w:hRule="atLeast"/>
        </w:trPr>
        <w:tc>
          <w:tcPr>
            <w:tcW w:w="2130" w:type="dxa"/>
            <w:gridSpan w:val="2"/>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 w:val="22"/>
                <w:szCs w:val="22"/>
                <w:highlight w:val="none"/>
                <w:lang w:val="en-US" w:eastAsia="zh-CN"/>
              </w:rPr>
              <w:t>纳税人类型</w:t>
            </w:r>
          </w:p>
        </w:tc>
        <w:tc>
          <w:tcPr>
            <w:tcW w:w="7963" w:type="dxa"/>
            <w:gridSpan w:val="4"/>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w:char="00A8"/>
            </w:r>
            <w:r>
              <w:rPr>
                <w:rFonts w:hint="eastAsia" w:ascii="宋体" w:hAnsi="宋体" w:eastAsia="宋体" w:cs="宋体"/>
                <w:color w:val="auto"/>
                <w:sz w:val="22"/>
                <w:szCs w:val="22"/>
                <w:highlight w:val="none"/>
              </w:rPr>
              <w:t>一般纳税人</w:t>
            </w:r>
          </w:p>
          <w:p>
            <w:pPr>
              <w:spacing w:line="440" w:lineRule="exact"/>
              <w:jc w:val="both"/>
              <w:rPr>
                <w:rFonts w:hint="eastAsia" w:ascii="宋体" w:hAnsi="宋体" w:eastAsia="宋体" w:cs="宋体"/>
                <w:color w:val="auto"/>
                <w:szCs w:val="21"/>
                <w:highlight w:val="none"/>
              </w:rPr>
            </w:pPr>
            <w:r>
              <w:rPr>
                <w:rFonts w:hint="eastAsia" w:ascii="宋体" w:hAnsi="宋体" w:eastAsia="宋体" w:cs="宋体"/>
                <w:color w:val="auto"/>
                <w:sz w:val="22"/>
                <w:szCs w:val="22"/>
                <w:highlight w:val="none"/>
              </w:rPr>
              <w:sym w:font="Wingdings" w:char="00A8"/>
            </w:r>
            <w:r>
              <w:rPr>
                <w:rFonts w:hint="eastAsia" w:ascii="宋体" w:hAnsi="宋体" w:eastAsia="宋体" w:cs="宋体"/>
                <w:color w:val="auto"/>
                <w:sz w:val="22"/>
                <w:szCs w:val="22"/>
                <w:highlight w:val="none"/>
              </w:rPr>
              <w:t>小规模纳税人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30" w:type="dxa"/>
            <w:gridSpan w:val="2"/>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公司管理体系认证</w:t>
            </w:r>
          </w:p>
        </w:tc>
        <w:tc>
          <w:tcPr>
            <w:tcW w:w="7963" w:type="dxa"/>
            <w:gridSpan w:val="4"/>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（质量、职业、环境管理体系）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trPr>
        <w:tc>
          <w:tcPr>
            <w:tcW w:w="10093" w:type="dxa"/>
            <w:gridSpan w:val="6"/>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公司资质及各类生产、经营许可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57" w:hRule="atLeast"/>
        </w:trPr>
        <w:tc>
          <w:tcPr>
            <w:tcW w:w="10093" w:type="dxa"/>
            <w:gridSpan w:val="6"/>
            <w:vAlign w:val="center"/>
          </w:tcPr>
          <w:p>
            <w:pP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如：工程类资质（工程单位）、经销商（生产、经营许可证、产品认证）、其它资质。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trPr>
        <w:tc>
          <w:tcPr>
            <w:tcW w:w="1242"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8851" w:type="dxa"/>
            <w:gridSpan w:val="5"/>
            <w:vAlign w:val="center"/>
          </w:tcPr>
          <w:p>
            <w:pPr>
              <w:spacing w:line="440" w:lineRule="exact"/>
              <w:ind w:firstLine="420" w:firstLineChars="200"/>
              <w:jc w:val="center"/>
              <w:rPr>
                <w:rFonts w:hint="eastAsia" w:ascii="宋体" w:hAnsi="宋体" w:eastAsia="宋体" w:cs="宋体"/>
                <w:color w:val="auto"/>
                <w:szCs w:val="21"/>
                <w:highlight w:val="none"/>
              </w:rPr>
            </w:pPr>
          </w:p>
        </w:tc>
      </w:tr>
    </w:tbl>
    <w:p>
      <w:pPr>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w:t>
      </w:r>
      <w:r>
        <w:rPr>
          <w:rFonts w:hint="eastAsia" w:ascii="宋体" w:hAnsi="宋体" w:eastAsia="宋体" w:cs="宋体"/>
          <w:color w:val="auto"/>
          <w:szCs w:val="21"/>
          <w:highlight w:val="none"/>
        </w:rPr>
        <w:t xml:space="preserve"> </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1、公司性质栏填写“国有、集体、私营、三资、个体、其它”，公司类型栏填写“</w:t>
      </w:r>
      <w:r>
        <w:rPr>
          <w:rFonts w:hint="eastAsia" w:ascii="宋体" w:hAnsi="宋体" w:eastAsia="宋体" w:cs="宋体"/>
          <w:color w:val="auto"/>
          <w:szCs w:val="21"/>
          <w:highlight w:val="none"/>
          <w:lang w:val="en-US" w:eastAsia="zh-CN"/>
        </w:rPr>
        <w:t>大型企业、中型企业、小型企业、微型企业</w:t>
      </w:r>
      <w:r>
        <w:rPr>
          <w:rFonts w:hint="eastAsia" w:ascii="宋体" w:hAnsi="宋体" w:eastAsia="宋体" w:cs="宋体"/>
          <w:color w:val="auto"/>
          <w:szCs w:val="21"/>
          <w:highlight w:val="none"/>
        </w:rPr>
        <w:t>”。</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2、“公司管理体系认证”处请填写企业通过的质量、职业、环境等管理体系认证名称，未通过任何管理体系认证请填“无”。</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3、“公司资质及各类生产、经营许可”处请根据企业实际情况填写。</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4、本表应与以下材料（复印件加盖公章）共同装订成册。</w:t>
      </w:r>
    </w:p>
    <w:p>
      <w:pPr>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（1）营业执照（三证合一）；</w:t>
      </w:r>
    </w:p>
    <w:p>
      <w:pPr>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（2）基本银行账户开户许可证；</w:t>
      </w:r>
    </w:p>
    <w:p>
      <w:pPr>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（3）管理体系认证；</w:t>
      </w:r>
    </w:p>
    <w:p>
      <w:pPr>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（4）资质及各类生产、经营许可证；</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（以上材料如有则附）</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2"/>
        <w:spacing w:line="360" w:lineRule="auto"/>
        <w:ind w:firstLine="422" w:firstLineChars="200"/>
        <w:jc w:val="center"/>
        <w:outlineLvl w:val="9"/>
        <w:rPr>
          <w:rFonts w:hint="eastAsia" w:ascii="宋体" w:hAnsi="宋体" w:eastAsia="宋体" w:cs="宋体"/>
          <w:b/>
          <w:color w:val="auto"/>
          <w:sz w:val="21"/>
          <w:szCs w:val="21"/>
          <w:highlight w:val="none"/>
        </w:rPr>
      </w:pPr>
      <w:bookmarkStart w:id="147" w:name="_Toc31314"/>
      <w:bookmarkStart w:id="148" w:name="_Toc5844"/>
    </w:p>
    <w:p>
      <w:pPr>
        <w:rPr>
          <w:rFonts w:hint="eastAsia" w:ascii="宋体" w:hAnsi="宋体" w:eastAsia="宋体" w:cs="宋体"/>
          <w:b/>
          <w:color w:val="auto"/>
          <w:sz w:val="21"/>
          <w:szCs w:val="21"/>
          <w:highlight w:val="none"/>
        </w:rPr>
      </w:pPr>
      <w:bookmarkStart w:id="149" w:name="_Toc6949"/>
      <w:r>
        <w:rPr>
          <w:rFonts w:hint="eastAsia" w:ascii="宋体" w:hAnsi="宋体" w:eastAsia="宋体" w:cs="宋体"/>
          <w:b/>
          <w:color w:val="auto"/>
          <w:sz w:val="21"/>
          <w:szCs w:val="21"/>
          <w:highlight w:val="none"/>
        </w:rPr>
        <w:br w:type="page"/>
      </w:r>
    </w:p>
    <w:p>
      <w:pPr>
        <w:rPr>
          <w:rFonts w:hint="eastAsia" w:ascii="宋体" w:hAnsi="宋体" w:eastAsia="宋体" w:cs="宋体"/>
          <w:b/>
          <w:color w:val="auto"/>
          <w:sz w:val="21"/>
          <w:szCs w:val="21"/>
          <w:highlight w:val="none"/>
        </w:rPr>
      </w:pPr>
    </w:p>
    <w:p>
      <w:pPr>
        <w:pStyle w:val="32"/>
        <w:spacing w:line="360" w:lineRule="auto"/>
        <w:ind w:firstLine="422" w:firstLineChars="200"/>
        <w:jc w:val="center"/>
        <w:outlineLvl w:val="3"/>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2.近年财务状况</w:t>
      </w:r>
      <w:bookmarkEnd w:id="147"/>
      <w:bookmarkEnd w:id="148"/>
      <w:bookmarkEnd w:id="149"/>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1、近年财务状况表（资产负债表、利润表、现金流量表）</w:t>
      </w:r>
      <w:r>
        <w:rPr>
          <w:rFonts w:hint="eastAsia" w:ascii="宋体" w:hAnsi="宋体" w:eastAsia="宋体" w:cs="宋体"/>
          <w:color w:val="auto"/>
          <w:szCs w:val="21"/>
          <w:highlight w:val="none"/>
          <w:lang w:val="en-US" w:eastAsia="zh-CN"/>
        </w:rPr>
        <w:t>是</w:t>
      </w:r>
      <w:r>
        <w:rPr>
          <w:rFonts w:hint="eastAsia" w:ascii="宋体" w:hAnsi="宋体" w:eastAsia="宋体" w:cs="宋体"/>
          <w:color w:val="auto"/>
          <w:szCs w:val="21"/>
          <w:highlight w:val="none"/>
        </w:rPr>
        <w:t>指经</w:t>
      </w:r>
      <w:r>
        <w:rPr>
          <w:rFonts w:hint="eastAsia" w:ascii="宋体" w:hAnsi="宋体" w:eastAsia="宋体" w:cs="宋体"/>
          <w:color w:val="auto"/>
          <w:szCs w:val="21"/>
          <w:highlight w:val="none"/>
          <w:lang w:val="en-US" w:eastAsia="zh-CN"/>
        </w:rPr>
        <w:t>第三方</w:t>
      </w:r>
      <w:r>
        <w:rPr>
          <w:rFonts w:hint="eastAsia" w:ascii="宋体" w:hAnsi="宋体" w:eastAsia="宋体" w:cs="宋体"/>
          <w:color w:val="auto"/>
          <w:szCs w:val="21"/>
          <w:highlight w:val="none"/>
        </w:rPr>
        <w:t>审计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如：</w:t>
      </w:r>
      <w:r>
        <w:rPr>
          <w:rFonts w:hint="eastAsia" w:ascii="宋体" w:hAnsi="宋体" w:eastAsia="宋体" w:cs="宋体"/>
          <w:color w:val="auto"/>
          <w:szCs w:val="21"/>
          <w:highlight w:val="none"/>
        </w:rPr>
        <w:t>会计师事务所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的财务会计报表及审计报告，各类报表中反映的财务状况数据应当一致，如果有不一致之处，以不利于投标人的数据为准。</w:t>
      </w:r>
      <w:r>
        <w:rPr>
          <w:rFonts w:hint="eastAsia" w:ascii="宋体" w:hAnsi="宋体" w:eastAsia="宋体" w:cs="宋体"/>
          <w:color w:val="auto"/>
          <w:szCs w:val="21"/>
          <w:highlight w:val="none"/>
          <w:lang w:val="en-US" w:eastAsia="zh-CN"/>
        </w:rPr>
        <w:t>若没有经第三方审计的财务审计报告和财务报表的，请提供财务状况的证明材料</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2、银行资信证明。</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3、有充足资金配合本项目顺利实施的承诺。</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2"/>
        <w:spacing w:line="360" w:lineRule="auto"/>
        <w:ind w:firstLine="422" w:firstLineChars="200"/>
        <w:jc w:val="center"/>
        <w:outlineLvl w:val="3"/>
        <w:rPr>
          <w:rFonts w:hint="eastAsia" w:ascii="宋体" w:hAnsi="宋体" w:eastAsia="宋体" w:cs="宋体"/>
          <w:b/>
          <w:color w:val="auto"/>
          <w:sz w:val="21"/>
          <w:szCs w:val="21"/>
          <w:highlight w:val="none"/>
        </w:rPr>
      </w:pPr>
      <w:bookmarkStart w:id="150" w:name="_Toc26355"/>
      <w:bookmarkStart w:id="151" w:name="_Toc6034"/>
      <w:bookmarkStart w:id="152" w:name="_Toc5409"/>
      <w:r>
        <w:rPr>
          <w:rFonts w:hint="eastAsia" w:ascii="宋体" w:hAnsi="宋体" w:eastAsia="宋体" w:cs="宋体"/>
          <w:b/>
          <w:color w:val="auto"/>
          <w:sz w:val="21"/>
          <w:szCs w:val="21"/>
          <w:highlight w:val="none"/>
        </w:rPr>
        <w:t>3.近年发生的诉讼和仲裁情况</w:t>
      </w:r>
      <w:bookmarkEnd w:id="150"/>
      <w:bookmarkEnd w:id="151"/>
      <w:bookmarkEnd w:id="152"/>
    </w:p>
    <w:p>
      <w:pPr>
        <w:spacing w:line="360" w:lineRule="auto"/>
        <w:ind w:right="498" w:rightChars="237"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备注：近年发生的诉讼和仲裁情况仅限于竞标人败诉的，且与履行施工承包合同有关的案件，不包括调解结案以及未裁决的仲裁或未终审判决的诉讼。</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25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类别</w:t>
            </w:r>
          </w:p>
        </w:tc>
        <w:tc>
          <w:tcPr>
            <w:tcW w:w="954"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60"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发生时间</w:t>
            </w:r>
          </w:p>
        </w:tc>
        <w:tc>
          <w:tcPr>
            <w:tcW w:w="3600"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情况简介</w:t>
            </w:r>
          </w:p>
        </w:tc>
        <w:tc>
          <w:tcPr>
            <w:tcW w:w="2554"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54" w:type="dxa"/>
            <w:vMerge w:val="restart"/>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诉</w:t>
            </w:r>
          </w:p>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讼</w:t>
            </w:r>
          </w:p>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情</w:t>
            </w:r>
          </w:p>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况</w:t>
            </w:r>
          </w:p>
        </w:tc>
        <w:tc>
          <w:tcPr>
            <w:tcW w:w="954" w:type="dxa"/>
            <w:vAlign w:val="center"/>
          </w:tcPr>
          <w:p>
            <w:pPr>
              <w:jc w:val="center"/>
              <w:rPr>
                <w:rFonts w:hint="eastAsia" w:ascii="宋体" w:hAnsi="宋体" w:eastAsia="宋体" w:cs="宋体"/>
                <w:color w:val="auto"/>
                <w:szCs w:val="21"/>
                <w:highlight w:val="none"/>
              </w:rPr>
            </w:pPr>
          </w:p>
        </w:tc>
        <w:tc>
          <w:tcPr>
            <w:tcW w:w="1260" w:type="dxa"/>
            <w:vAlign w:val="center"/>
          </w:tcPr>
          <w:p>
            <w:pPr>
              <w:jc w:val="center"/>
              <w:rPr>
                <w:rFonts w:hint="eastAsia" w:ascii="宋体" w:hAnsi="宋体" w:eastAsia="宋体" w:cs="宋体"/>
                <w:color w:val="auto"/>
                <w:szCs w:val="21"/>
                <w:highlight w:val="none"/>
              </w:rPr>
            </w:pPr>
          </w:p>
        </w:tc>
        <w:tc>
          <w:tcPr>
            <w:tcW w:w="3600" w:type="dxa"/>
            <w:vAlign w:val="center"/>
          </w:tcPr>
          <w:p>
            <w:pPr>
              <w:jc w:val="center"/>
              <w:rPr>
                <w:rFonts w:hint="eastAsia" w:ascii="宋体" w:hAnsi="宋体" w:eastAsia="宋体" w:cs="宋体"/>
                <w:color w:val="auto"/>
                <w:szCs w:val="21"/>
                <w:highlight w:val="none"/>
              </w:rPr>
            </w:pPr>
          </w:p>
        </w:tc>
        <w:tc>
          <w:tcPr>
            <w:tcW w:w="2554" w:type="dxa"/>
            <w:vAlign w:val="center"/>
          </w:tcPr>
          <w:p>
            <w:pPr>
              <w:jc w:val="center"/>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int="eastAsia" w:ascii="宋体" w:hAnsi="宋体" w:eastAsia="宋体" w:cs="宋体"/>
                <w:color w:val="auto"/>
                <w:szCs w:val="21"/>
                <w:highlight w:val="none"/>
              </w:rPr>
            </w:pPr>
          </w:p>
        </w:tc>
        <w:tc>
          <w:tcPr>
            <w:tcW w:w="954" w:type="dxa"/>
            <w:vAlign w:val="center"/>
          </w:tcPr>
          <w:p>
            <w:pPr>
              <w:jc w:val="center"/>
              <w:rPr>
                <w:rFonts w:hint="eastAsia" w:ascii="宋体" w:hAnsi="宋体" w:eastAsia="宋体" w:cs="宋体"/>
                <w:color w:val="auto"/>
                <w:szCs w:val="21"/>
                <w:highlight w:val="none"/>
              </w:rPr>
            </w:pPr>
          </w:p>
        </w:tc>
        <w:tc>
          <w:tcPr>
            <w:tcW w:w="1260" w:type="dxa"/>
            <w:vAlign w:val="center"/>
          </w:tcPr>
          <w:p>
            <w:pPr>
              <w:jc w:val="center"/>
              <w:rPr>
                <w:rFonts w:hint="eastAsia" w:ascii="宋体" w:hAnsi="宋体" w:eastAsia="宋体" w:cs="宋体"/>
                <w:color w:val="auto"/>
                <w:szCs w:val="21"/>
                <w:highlight w:val="none"/>
              </w:rPr>
            </w:pPr>
          </w:p>
        </w:tc>
        <w:tc>
          <w:tcPr>
            <w:tcW w:w="3600" w:type="dxa"/>
            <w:vAlign w:val="center"/>
          </w:tcPr>
          <w:p>
            <w:pPr>
              <w:jc w:val="center"/>
              <w:rPr>
                <w:rFonts w:hint="eastAsia" w:ascii="宋体" w:hAnsi="宋体" w:eastAsia="宋体" w:cs="宋体"/>
                <w:color w:val="auto"/>
                <w:szCs w:val="21"/>
                <w:highlight w:val="none"/>
              </w:rPr>
            </w:pPr>
          </w:p>
        </w:tc>
        <w:tc>
          <w:tcPr>
            <w:tcW w:w="2554" w:type="dxa"/>
            <w:vAlign w:val="center"/>
          </w:tcPr>
          <w:p>
            <w:pPr>
              <w:jc w:val="center"/>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int="eastAsia" w:ascii="宋体" w:hAnsi="宋体" w:eastAsia="宋体" w:cs="宋体"/>
                <w:color w:val="auto"/>
                <w:szCs w:val="21"/>
                <w:highlight w:val="none"/>
              </w:rPr>
            </w:pPr>
          </w:p>
        </w:tc>
        <w:tc>
          <w:tcPr>
            <w:tcW w:w="954" w:type="dxa"/>
            <w:vAlign w:val="center"/>
          </w:tcPr>
          <w:p>
            <w:pPr>
              <w:jc w:val="center"/>
              <w:rPr>
                <w:rFonts w:hint="eastAsia" w:ascii="宋体" w:hAnsi="宋体" w:eastAsia="宋体" w:cs="宋体"/>
                <w:color w:val="auto"/>
                <w:szCs w:val="21"/>
                <w:highlight w:val="none"/>
              </w:rPr>
            </w:pPr>
          </w:p>
        </w:tc>
        <w:tc>
          <w:tcPr>
            <w:tcW w:w="1260" w:type="dxa"/>
            <w:vAlign w:val="center"/>
          </w:tcPr>
          <w:p>
            <w:pPr>
              <w:jc w:val="center"/>
              <w:rPr>
                <w:rFonts w:hint="eastAsia" w:ascii="宋体" w:hAnsi="宋体" w:eastAsia="宋体" w:cs="宋体"/>
                <w:color w:val="auto"/>
                <w:szCs w:val="21"/>
                <w:highlight w:val="none"/>
              </w:rPr>
            </w:pPr>
          </w:p>
        </w:tc>
        <w:tc>
          <w:tcPr>
            <w:tcW w:w="3600" w:type="dxa"/>
            <w:vAlign w:val="center"/>
          </w:tcPr>
          <w:p>
            <w:pPr>
              <w:jc w:val="center"/>
              <w:rPr>
                <w:rFonts w:hint="eastAsia" w:ascii="宋体" w:hAnsi="宋体" w:eastAsia="宋体" w:cs="宋体"/>
                <w:color w:val="auto"/>
                <w:szCs w:val="21"/>
                <w:highlight w:val="none"/>
              </w:rPr>
            </w:pPr>
          </w:p>
        </w:tc>
        <w:tc>
          <w:tcPr>
            <w:tcW w:w="2554" w:type="dxa"/>
            <w:vAlign w:val="center"/>
          </w:tcPr>
          <w:p>
            <w:pPr>
              <w:jc w:val="center"/>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int="eastAsia" w:ascii="宋体" w:hAnsi="宋体" w:eastAsia="宋体" w:cs="宋体"/>
                <w:color w:val="auto"/>
                <w:szCs w:val="21"/>
                <w:highlight w:val="none"/>
              </w:rPr>
            </w:pPr>
          </w:p>
        </w:tc>
        <w:tc>
          <w:tcPr>
            <w:tcW w:w="954" w:type="dxa"/>
            <w:vAlign w:val="center"/>
          </w:tcPr>
          <w:p>
            <w:pPr>
              <w:jc w:val="center"/>
              <w:rPr>
                <w:rFonts w:hint="eastAsia" w:ascii="宋体" w:hAnsi="宋体" w:eastAsia="宋体" w:cs="宋体"/>
                <w:color w:val="auto"/>
                <w:szCs w:val="21"/>
                <w:highlight w:val="none"/>
              </w:rPr>
            </w:pPr>
          </w:p>
        </w:tc>
        <w:tc>
          <w:tcPr>
            <w:tcW w:w="1260" w:type="dxa"/>
            <w:vAlign w:val="center"/>
          </w:tcPr>
          <w:p>
            <w:pPr>
              <w:jc w:val="center"/>
              <w:rPr>
                <w:rFonts w:hint="eastAsia" w:ascii="宋体" w:hAnsi="宋体" w:eastAsia="宋体" w:cs="宋体"/>
                <w:color w:val="auto"/>
                <w:szCs w:val="21"/>
                <w:highlight w:val="none"/>
              </w:rPr>
            </w:pPr>
          </w:p>
        </w:tc>
        <w:tc>
          <w:tcPr>
            <w:tcW w:w="3600" w:type="dxa"/>
            <w:vAlign w:val="center"/>
          </w:tcPr>
          <w:p>
            <w:pPr>
              <w:jc w:val="center"/>
              <w:rPr>
                <w:rFonts w:hint="eastAsia" w:ascii="宋体" w:hAnsi="宋体" w:eastAsia="宋体" w:cs="宋体"/>
                <w:color w:val="auto"/>
                <w:szCs w:val="21"/>
                <w:highlight w:val="none"/>
              </w:rPr>
            </w:pPr>
          </w:p>
        </w:tc>
        <w:tc>
          <w:tcPr>
            <w:tcW w:w="2554" w:type="dxa"/>
            <w:vAlign w:val="center"/>
          </w:tcPr>
          <w:p>
            <w:pPr>
              <w:jc w:val="center"/>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int="eastAsia" w:ascii="宋体" w:hAnsi="宋体" w:eastAsia="宋体" w:cs="宋体"/>
                <w:color w:val="auto"/>
                <w:szCs w:val="21"/>
                <w:highlight w:val="none"/>
              </w:rPr>
            </w:pPr>
          </w:p>
        </w:tc>
        <w:tc>
          <w:tcPr>
            <w:tcW w:w="954" w:type="dxa"/>
            <w:vAlign w:val="center"/>
          </w:tcPr>
          <w:p>
            <w:pPr>
              <w:jc w:val="center"/>
              <w:rPr>
                <w:rFonts w:hint="eastAsia" w:ascii="宋体" w:hAnsi="宋体" w:eastAsia="宋体" w:cs="宋体"/>
                <w:color w:val="auto"/>
                <w:szCs w:val="21"/>
                <w:highlight w:val="none"/>
              </w:rPr>
            </w:pPr>
          </w:p>
        </w:tc>
        <w:tc>
          <w:tcPr>
            <w:tcW w:w="1260" w:type="dxa"/>
            <w:vAlign w:val="center"/>
          </w:tcPr>
          <w:p>
            <w:pPr>
              <w:jc w:val="center"/>
              <w:rPr>
                <w:rFonts w:hint="eastAsia" w:ascii="宋体" w:hAnsi="宋体" w:eastAsia="宋体" w:cs="宋体"/>
                <w:color w:val="auto"/>
                <w:szCs w:val="21"/>
                <w:highlight w:val="none"/>
              </w:rPr>
            </w:pPr>
          </w:p>
        </w:tc>
        <w:tc>
          <w:tcPr>
            <w:tcW w:w="3600" w:type="dxa"/>
            <w:vAlign w:val="center"/>
          </w:tcPr>
          <w:p>
            <w:pPr>
              <w:jc w:val="center"/>
              <w:rPr>
                <w:rFonts w:hint="eastAsia" w:ascii="宋体" w:hAnsi="宋体" w:eastAsia="宋体" w:cs="宋体"/>
                <w:color w:val="auto"/>
                <w:szCs w:val="21"/>
                <w:highlight w:val="none"/>
              </w:rPr>
            </w:pPr>
          </w:p>
        </w:tc>
        <w:tc>
          <w:tcPr>
            <w:tcW w:w="2554" w:type="dxa"/>
            <w:vAlign w:val="center"/>
          </w:tcPr>
          <w:p>
            <w:pPr>
              <w:jc w:val="center"/>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int="eastAsia" w:ascii="宋体" w:hAnsi="宋体" w:eastAsia="宋体" w:cs="宋体"/>
                <w:color w:val="auto"/>
                <w:szCs w:val="21"/>
                <w:highlight w:val="none"/>
              </w:rPr>
            </w:pPr>
          </w:p>
        </w:tc>
        <w:tc>
          <w:tcPr>
            <w:tcW w:w="954" w:type="dxa"/>
            <w:vAlign w:val="center"/>
          </w:tcPr>
          <w:p>
            <w:pPr>
              <w:jc w:val="center"/>
              <w:rPr>
                <w:rFonts w:hint="eastAsia" w:ascii="宋体" w:hAnsi="宋体" w:eastAsia="宋体" w:cs="宋体"/>
                <w:color w:val="auto"/>
                <w:szCs w:val="21"/>
                <w:highlight w:val="none"/>
              </w:rPr>
            </w:pPr>
          </w:p>
        </w:tc>
        <w:tc>
          <w:tcPr>
            <w:tcW w:w="1260" w:type="dxa"/>
            <w:vAlign w:val="center"/>
          </w:tcPr>
          <w:p>
            <w:pPr>
              <w:jc w:val="center"/>
              <w:rPr>
                <w:rFonts w:hint="eastAsia" w:ascii="宋体" w:hAnsi="宋体" w:eastAsia="宋体" w:cs="宋体"/>
                <w:color w:val="auto"/>
                <w:szCs w:val="21"/>
                <w:highlight w:val="none"/>
              </w:rPr>
            </w:pPr>
          </w:p>
        </w:tc>
        <w:tc>
          <w:tcPr>
            <w:tcW w:w="3600" w:type="dxa"/>
            <w:vAlign w:val="center"/>
          </w:tcPr>
          <w:p>
            <w:pPr>
              <w:jc w:val="center"/>
              <w:rPr>
                <w:rFonts w:hint="eastAsia" w:ascii="宋体" w:hAnsi="宋体" w:eastAsia="宋体" w:cs="宋体"/>
                <w:color w:val="auto"/>
                <w:szCs w:val="21"/>
                <w:highlight w:val="none"/>
              </w:rPr>
            </w:pPr>
          </w:p>
        </w:tc>
        <w:tc>
          <w:tcPr>
            <w:tcW w:w="2554" w:type="dxa"/>
            <w:vAlign w:val="center"/>
          </w:tcPr>
          <w:p>
            <w:pPr>
              <w:jc w:val="center"/>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int="eastAsia" w:ascii="宋体" w:hAnsi="宋体" w:eastAsia="宋体" w:cs="宋体"/>
                <w:color w:val="auto"/>
                <w:szCs w:val="21"/>
                <w:highlight w:val="none"/>
              </w:rPr>
            </w:pPr>
          </w:p>
        </w:tc>
        <w:tc>
          <w:tcPr>
            <w:tcW w:w="954" w:type="dxa"/>
            <w:vAlign w:val="center"/>
          </w:tcPr>
          <w:p>
            <w:pPr>
              <w:jc w:val="center"/>
              <w:rPr>
                <w:rFonts w:hint="eastAsia" w:ascii="宋体" w:hAnsi="宋体" w:eastAsia="宋体" w:cs="宋体"/>
                <w:color w:val="auto"/>
                <w:szCs w:val="21"/>
                <w:highlight w:val="none"/>
              </w:rPr>
            </w:pPr>
          </w:p>
        </w:tc>
        <w:tc>
          <w:tcPr>
            <w:tcW w:w="1260" w:type="dxa"/>
            <w:vAlign w:val="center"/>
          </w:tcPr>
          <w:p>
            <w:pPr>
              <w:jc w:val="center"/>
              <w:rPr>
                <w:rFonts w:hint="eastAsia" w:ascii="宋体" w:hAnsi="宋体" w:eastAsia="宋体" w:cs="宋体"/>
                <w:color w:val="auto"/>
                <w:szCs w:val="21"/>
                <w:highlight w:val="none"/>
              </w:rPr>
            </w:pPr>
          </w:p>
        </w:tc>
        <w:tc>
          <w:tcPr>
            <w:tcW w:w="3600" w:type="dxa"/>
            <w:vAlign w:val="center"/>
          </w:tcPr>
          <w:p>
            <w:pPr>
              <w:jc w:val="center"/>
              <w:rPr>
                <w:rFonts w:hint="eastAsia" w:ascii="宋体" w:hAnsi="宋体" w:eastAsia="宋体" w:cs="宋体"/>
                <w:color w:val="auto"/>
                <w:szCs w:val="21"/>
                <w:highlight w:val="none"/>
              </w:rPr>
            </w:pPr>
          </w:p>
        </w:tc>
        <w:tc>
          <w:tcPr>
            <w:tcW w:w="2554" w:type="dxa"/>
            <w:vAlign w:val="center"/>
          </w:tcPr>
          <w:p>
            <w:pPr>
              <w:jc w:val="center"/>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vMerge w:val="restart"/>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仲</w:t>
            </w:r>
          </w:p>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裁</w:t>
            </w:r>
          </w:p>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情</w:t>
            </w:r>
          </w:p>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况</w:t>
            </w:r>
          </w:p>
        </w:tc>
        <w:tc>
          <w:tcPr>
            <w:tcW w:w="954" w:type="dxa"/>
            <w:vAlign w:val="center"/>
          </w:tcPr>
          <w:p>
            <w:pPr>
              <w:jc w:val="center"/>
              <w:rPr>
                <w:rFonts w:hint="eastAsia" w:ascii="宋体" w:hAnsi="宋体" w:eastAsia="宋体" w:cs="宋体"/>
                <w:color w:val="auto"/>
                <w:szCs w:val="21"/>
                <w:highlight w:val="none"/>
              </w:rPr>
            </w:pPr>
          </w:p>
        </w:tc>
        <w:tc>
          <w:tcPr>
            <w:tcW w:w="1260" w:type="dxa"/>
            <w:vAlign w:val="center"/>
          </w:tcPr>
          <w:p>
            <w:pPr>
              <w:jc w:val="center"/>
              <w:rPr>
                <w:rFonts w:hint="eastAsia" w:ascii="宋体" w:hAnsi="宋体" w:eastAsia="宋体" w:cs="宋体"/>
                <w:color w:val="auto"/>
                <w:szCs w:val="21"/>
                <w:highlight w:val="none"/>
              </w:rPr>
            </w:pPr>
          </w:p>
        </w:tc>
        <w:tc>
          <w:tcPr>
            <w:tcW w:w="3600" w:type="dxa"/>
            <w:vAlign w:val="center"/>
          </w:tcPr>
          <w:p>
            <w:pPr>
              <w:jc w:val="center"/>
              <w:rPr>
                <w:rFonts w:hint="eastAsia" w:ascii="宋体" w:hAnsi="宋体" w:eastAsia="宋体" w:cs="宋体"/>
                <w:color w:val="auto"/>
                <w:szCs w:val="21"/>
                <w:highlight w:val="none"/>
              </w:rPr>
            </w:pPr>
          </w:p>
        </w:tc>
        <w:tc>
          <w:tcPr>
            <w:tcW w:w="2554" w:type="dxa"/>
            <w:vAlign w:val="center"/>
          </w:tcPr>
          <w:p>
            <w:pPr>
              <w:jc w:val="center"/>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int="eastAsia" w:ascii="宋体" w:hAnsi="宋体" w:eastAsia="宋体" w:cs="宋体"/>
                <w:color w:val="auto"/>
                <w:szCs w:val="21"/>
                <w:highlight w:val="none"/>
              </w:rPr>
            </w:pPr>
          </w:p>
        </w:tc>
        <w:tc>
          <w:tcPr>
            <w:tcW w:w="954" w:type="dxa"/>
            <w:vAlign w:val="center"/>
          </w:tcPr>
          <w:p>
            <w:pPr>
              <w:jc w:val="center"/>
              <w:rPr>
                <w:rFonts w:hint="eastAsia" w:ascii="宋体" w:hAnsi="宋体" w:eastAsia="宋体" w:cs="宋体"/>
                <w:color w:val="auto"/>
                <w:szCs w:val="21"/>
                <w:highlight w:val="none"/>
              </w:rPr>
            </w:pPr>
          </w:p>
        </w:tc>
        <w:tc>
          <w:tcPr>
            <w:tcW w:w="1260" w:type="dxa"/>
            <w:vAlign w:val="center"/>
          </w:tcPr>
          <w:p>
            <w:pPr>
              <w:jc w:val="center"/>
              <w:rPr>
                <w:rFonts w:hint="eastAsia" w:ascii="宋体" w:hAnsi="宋体" w:eastAsia="宋体" w:cs="宋体"/>
                <w:color w:val="auto"/>
                <w:szCs w:val="21"/>
                <w:highlight w:val="none"/>
              </w:rPr>
            </w:pPr>
          </w:p>
        </w:tc>
        <w:tc>
          <w:tcPr>
            <w:tcW w:w="3600" w:type="dxa"/>
            <w:vAlign w:val="center"/>
          </w:tcPr>
          <w:p>
            <w:pPr>
              <w:jc w:val="center"/>
              <w:rPr>
                <w:rFonts w:hint="eastAsia" w:ascii="宋体" w:hAnsi="宋体" w:eastAsia="宋体" w:cs="宋体"/>
                <w:color w:val="auto"/>
                <w:szCs w:val="21"/>
                <w:highlight w:val="none"/>
              </w:rPr>
            </w:pPr>
          </w:p>
        </w:tc>
        <w:tc>
          <w:tcPr>
            <w:tcW w:w="2554" w:type="dxa"/>
            <w:vAlign w:val="center"/>
          </w:tcPr>
          <w:p>
            <w:pPr>
              <w:jc w:val="center"/>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int="eastAsia" w:ascii="宋体" w:hAnsi="宋体" w:eastAsia="宋体" w:cs="宋体"/>
                <w:color w:val="auto"/>
                <w:szCs w:val="21"/>
                <w:highlight w:val="none"/>
              </w:rPr>
            </w:pPr>
          </w:p>
        </w:tc>
        <w:tc>
          <w:tcPr>
            <w:tcW w:w="954" w:type="dxa"/>
            <w:vAlign w:val="center"/>
          </w:tcPr>
          <w:p>
            <w:pPr>
              <w:jc w:val="center"/>
              <w:rPr>
                <w:rFonts w:hint="eastAsia" w:ascii="宋体" w:hAnsi="宋体" w:eastAsia="宋体" w:cs="宋体"/>
                <w:color w:val="auto"/>
                <w:szCs w:val="21"/>
                <w:highlight w:val="none"/>
              </w:rPr>
            </w:pPr>
          </w:p>
        </w:tc>
        <w:tc>
          <w:tcPr>
            <w:tcW w:w="1260" w:type="dxa"/>
            <w:vAlign w:val="center"/>
          </w:tcPr>
          <w:p>
            <w:pPr>
              <w:jc w:val="center"/>
              <w:rPr>
                <w:rFonts w:hint="eastAsia" w:ascii="宋体" w:hAnsi="宋体" w:eastAsia="宋体" w:cs="宋体"/>
                <w:color w:val="auto"/>
                <w:szCs w:val="21"/>
                <w:highlight w:val="none"/>
              </w:rPr>
            </w:pPr>
          </w:p>
        </w:tc>
        <w:tc>
          <w:tcPr>
            <w:tcW w:w="3600" w:type="dxa"/>
            <w:vAlign w:val="center"/>
          </w:tcPr>
          <w:p>
            <w:pPr>
              <w:jc w:val="center"/>
              <w:rPr>
                <w:rFonts w:hint="eastAsia" w:ascii="宋体" w:hAnsi="宋体" w:eastAsia="宋体" w:cs="宋体"/>
                <w:color w:val="auto"/>
                <w:szCs w:val="21"/>
                <w:highlight w:val="none"/>
              </w:rPr>
            </w:pPr>
          </w:p>
        </w:tc>
        <w:tc>
          <w:tcPr>
            <w:tcW w:w="2554" w:type="dxa"/>
            <w:vAlign w:val="center"/>
          </w:tcPr>
          <w:p>
            <w:pPr>
              <w:jc w:val="center"/>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int="eastAsia" w:ascii="宋体" w:hAnsi="宋体" w:eastAsia="宋体" w:cs="宋体"/>
                <w:color w:val="auto"/>
                <w:szCs w:val="21"/>
                <w:highlight w:val="none"/>
              </w:rPr>
            </w:pPr>
          </w:p>
        </w:tc>
        <w:tc>
          <w:tcPr>
            <w:tcW w:w="954" w:type="dxa"/>
            <w:vAlign w:val="center"/>
          </w:tcPr>
          <w:p>
            <w:pPr>
              <w:jc w:val="center"/>
              <w:rPr>
                <w:rFonts w:hint="eastAsia" w:ascii="宋体" w:hAnsi="宋体" w:eastAsia="宋体" w:cs="宋体"/>
                <w:color w:val="auto"/>
                <w:szCs w:val="21"/>
                <w:highlight w:val="none"/>
              </w:rPr>
            </w:pPr>
          </w:p>
        </w:tc>
        <w:tc>
          <w:tcPr>
            <w:tcW w:w="1260" w:type="dxa"/>
            <w:vAlign w:val="center"/>
          </w:tcPr>
          <w:p>
            <w:pPr>
              <w:jc w:val="center"/>
              <w:rPr>
                <w:rFonts w:hint="eastAsia" w:ascii="宋体" w:hAnsi="宋体" w:eastAsia="宋体" w:cs="宋体"/>
                <w:color w:val="auto"/>
                <w:szCs w:val="21"/>
                <w:highlight w:val="none"/>
              </w:rPr>
            </w:pPr>
          </w:p>
        </w:tc>
        <w:tc>
          <w:tcPr>
            <w:tcW w:w="3600" w:type="dxa"/>
            <w:vAlign w:val="center"/>
          </w:tcPr>
          <w:p>
            <w:pPr>
              <w:jc w:val="center"/>
              <w:rPr>
                <w:rFonts w:hint="eastAsia" w:ascii="宋体" w:hAnsi="宋体" w:eastAsia="宋体" w:cs="宋体"/>
                <w:color w:val="auto"/>
                <w:szCs w:val="21"/>
                <w:highlight w:val="none"/>
              </w:rPr>
            </w:pPr>
          </w:p>
        </w:tc>
        <w:tc>
          <w:tcPr>
            <w:tcW w:w="2554" w:type="dxa"/>
            <w:vAlign w:val="center"/>
          </w:tcPr>
          <w:p>
            <w:pPr>
              <w:jc w:val="center"/>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int="eastAsia" w:ascii="宋体" w:hAnsi="宋体" w:eastAsia="宋体" w:cs="宋体"/>
                <w:color w:val="auto"/>
                <w:szCs w:val="21"/>
                <w:highlight w:val="none"/>
              </w:rPr>
            </w:pPr>
          </w:p>
        </w:tc>
        <w:tc>
          <w:tcPr>
            <w:tcW w:w="954" w:type="dxa"/>
            <w:vAlign w:val="center"/>
          </w:tcPr>
          <w:p>
            <w:pPr>
              <w:jc w:val="center"/>
              <w:rPr>
                <w:rFonts w:hint="eastAsia" w:ascii="宋体" w:hAnsi="宋体" w:eastAsia="宋体" w:cs="宋体"/>
                <w:color w:val="auto"/>
                <w:szCs w:val="21"/>
                <w:highlight w:val="none"/>
              </w:rPr>
            </w:pPr>
          </w:p>
        </w:tc>
        <w:tc>
          <w:tcPr>
            <w:tcW w:w="1260" w:type="dxa"/>
            <w:vAlign w:val="center"/>
          </w:tcPr>
          <w:p>
            <w:pPr>
              <w:jc w:val="center"/>
              <w:rPr>
                <w:rFonts w:hint="eastAsia" w:ascii="宋体" w:hAnsi="宋体" w:eastAsia="宋体" w:cs="宋体"/>
                <w:color w:val="auto"/>
                <w:szCs w:val="21"/>
                <w:highlight w:val="none"/>
              </w:rPr>
            </w:pPr>
          </w:p>
        </w:tc>
        <w:tc>
          <w:tcPr>
            <w:tcW w:w="3600" w:type="dxa"/>
            <w:vAlign w:val="center"/>
          </w:tcPr>
          <w:p>
            <w:pPr>
              <w:jc w:val="center"/>
              <w:rPr>
                <w:rFonts w:hint="eastAsia" w:ascii="宋体" w:hAnsi="宋体" w:eastAsia="宋体" w:cs="宋体"/>
                <w:color w:val="auto"/>
                <w:szCs w:val="21"/>
                <w:highlight w:val="none"/>
              </w:rPr>
            </w:pPr>
          </w:p>
        </w:tc>
        <w:tc>
          <w:tcPr>
            <w:tcW w:w="2554" w:type="dxa"/>
            <w:vAlign w:val="center"/>
          </w:tcPr>
          <w:p>
            <w:pPr>
              <w:jc w:val="center"/>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int="eastAsia" w:ascii="宋体" w:hAnsi="宋体" w:eastAsia="宋体" w:cs="宋体"/>
                <w:color w:val="auto"/>
                <w:szCs w:val="21"/>
                <w:highlight w:val="none"/>
              </w:rPr>
            </w:pPr>
          </w:p>
        </w:tc>
        <w:tc>
          <w:tcPr>
            <w:tcW w:w="954" w:type="dxa"/>
            <w:vAlign w:val="center"/>
          </w:tcPr>
          <w:p>
            <w:pPr>
              <w:jc w:val="center"/>
              <w:rPr>
                <w:rFonts w:hint="eastAsia" w:ascii="宋体" w:hAnsi="宋体" w:eastAsia="宋体" w:cs="宋体"/>
                <w:color w:val="auto"/>
                <w:szCs w:val="21"/>
                <w:highlight w:val="none"/>
              </w:rPr>
            </w:pPr>
          </w:p>
        </w:tc>
        <w:tc>
          <w:tcPr>
            <w:tcW w:w="1260" w:type="dxa"/>
            <w:vAlign w:val="center"/>
          </w:tcPr>
          <w:p>
            <w:pPr>
              <w:jc w:val="center"/>
              <w:rPr>
                <w:rFonts w:hint="eastAsia" w:ascii="宋体" w:hAnsi="宋体" w:eastAsia="宋体" w:cs="宋体"/>
                <w:color w:val="auto"/>
                <w:szCs w:val="21"/>
                <w:highlight w:val="none"/>
              </w:rPr>
            </w:pPr>
          </w:p>
        </w:tc>
        <w:tc>
          <w:tcPr>
            <w:tcW w:w="3600" w:type="dxa"/>
            <w:vAlign w:val="center"/>
          </w:tcPr>
          <w:p>
            <w:pPr>
              <w:jc w:val="center"/>
              <w:rPr>
                <w:rFonts w:hint="eastAsia" w:ascii="宋体" w:hAnsi="宋体" w:eastAsia="宋体" w:cs="宋体"/>
                <w:color w:val="auto"/>
                <w:szCs w:val="21"/>
                <w:highlight w:val="none"/>
              </w:rPr>
            </w:pPr>
          </w:p>
        </w:tc>
        <w:tc>
          <w:tcPr>
            <w:tcW w:w="2554" w:type="dxa"/>
            <w:vAlign w:val="center"/>
          </w:tcPr>
          <w:p>
            <w:pPr>
              <w:jc w:val="center"/>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int="eastAsia" w:ascii="宋体" w:hAnsi="宋体" w:eastAsia="宋体" w:cs="宋体"/>
                <w:color w:val="auto"/>
                <w:szCs w:val="21"/>
                <w:highlight w:val="none"/>
              </w:rPr>
            </w:pPr>
          </w:p>
        </w:tc>
        <w:tc>
          <w:tcPr>
            <w:tcW w:w="954" w:type="dxa"/>
            <w:vAlign w:val="center"/>
          </w:tcPr>
          <w:p>
            <w:pPr>
              <w:jc w:val="center"/>
              <w:rPr>
                <w:rFonts w:hint="eastAsia" w:ascii="宋体" w:hAnsi="宋体" w:eastAsia="宋体" w:cs="宋体"/>
                <w:color w:val="auto"/>
                <w:szCs w:val="21"/>
                <w:highlight w:val="none"/>
              </w:rPr>
            </w:pPr>
          </w:p>
        </w:tc>
        <w:tc>
          <w:tcPr>
            <w:tcW w:w="1260" w:type="dxa"/>
            <w:vAlign w:val="center"/>
          </w:tcPr>
          <w:p>
            <w:pPr>
              <w:jc w:val="center"/>
              <w:rPr>
                <w:rFonts w:hint="eastAsia" w:ascii="宋体" w:hAnsi="宋体" w:eastAsia="宋体" w:cs="宋体"/>
                <w:color w:val="auto"/>
                <w:szCs w:val="21"/>
                <w:highlight w:val="none"/>
              </w:rPr>
            </w:pPr>
          </w:p>
        </w:tc>
        <w:tc>
          <w:tcPr>
            <w:tcW w:w="3600" w:type="dxa"/>
            <w:vAlign w:val="center"/>
          </w:tcPr>
          <w:p>
            <w:pPr>
              <w:jc w:val="center"/>
              <w:rPr>
                <w:rFonts w:hint="eastAsia" w:ascii="宋体" w:hAnsi="宋体" w:eastAsia="宋体" w:cs="宋体"/>
                <w:color w:val="auto"/>
                <w:szCs w:val="21"/>
                <w:highlight w:val="none"/>
              </w:rPr>
            </w:pPr>
          </w:p>
        </w:tc>
        <w:tc>
          <w:tcPr>
            <w:tcW w:w="2554" w:type="dxa"/>
            <w:vAlign w:val="center"/>
          </w:tcPr>
          <w:p>
            <w:pPr>
              <w:jc w:val="center"/>
              <w:rPr>
                <w:rFonts w:hint="eastAsia" w:ascii="宋体" w:hAnsi="宋体" w:eastAsia="宋体" w:cs="宋体"/>
                <w:color w:val="auto"/>
                <w:szCs w:val="21"/>
                <w:highlight w:val="none"/>
              </w:rPr>
            </w:pPr>
          </w:p>
        </w:tc>
      </w:tr>
    </w:tbl>
    <w:p>
      <w:pPr>
        <w:spacing w:line="360" w:lineRule="auto"/>
        <w:ind w:left="-357" w:leftChars="-170" w:firstLine="577" w:firstLineChars="275"/>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  标  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pPr>
        <w:spacing w:line="360" w:lineRule="auto"/>
        <w:ind w:left="-357" w:leftChars="-170" w:firstLine="577" w:firstLineChars="275"/>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pPr>
        <w:spacing w:line="360" w:lineRule="auto"/>
        <w:ind w:left="-357" w:leftChars="-170" w:firstLine="577" w:firstLineChars="275"/>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填表时间：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pStyle w:val="5"/>
        <w:spacing w:line="415" w:lineRule="auto"/>
        <w:ind w:firstLine="562" w:firstLineChars="200"/>
        <w:jc w:val="center"/>
        <w:outlineLvl w:val="2"/>
        <w:rPr>
          <w:rFonts w:hint="eastAsia" w:ascii="宋体" w:hAnsi="宋体" w:eastAsia="宋体" w:cs="宋体"/>
          <w:bCs w:val="0"/>
          <w:color w:val="auto"/>
          <w:sz w:val="28"/>
          <w:szCs w:val="28"/>
          <w:highlight w:val="none"/>
        </w:rPr>
      </w:pPr>
      <w:bookmarkStart w:id="153" w:name="_Toc27711"/>
      <w:bookmarkStart w:id="154" w:name="_Toc5461"/>
      <w:r>
        <w:rPr>
          <w:rFonts w:hint="eastAsia" w:ascii="宋体" w:hAnsi="宋体" w:eastAsia="宋体" w:cs="宋体"/>
          <w:bCs w:val="0"/>
          <w:color w:val="auto"/>
          <w:sz w:val="28"/>
          <w:szCs w:val="28"/>
          <w:highlight w:val="none"/>
        </w:rPr>
        <w:t>七、已标价工程量清单</w:t>
      </w:r>
      <w:bookmarkEnd w:id="153"/>
      <w:bookmarkEnd w:id="154"/>
    </w:p>
    <w:p>
      <w:pPr>
        <w:bidi w:val="0"/>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详附件2</w:t>
      </w:r>
      <w:r>
        <w:rPr>
          <w:rFonts w:hint="eastAsia" w:ascii="宋体" w:hAnsi="宋体" w:eastAsia="宋体" w:cs="宋体"/>
          <w:color w:val="auto"/>
          <w:sz w:val="24"/>
          <w:szCs w:val="24"/>
          <w:highlight w:val="none"/>
        </w:rPr>
        <w:t>，随招标文件一起提供）</w:t>
      </w:r>
      <w:r>
        <w:rPr>
          <w:rFonts w:hint="eastAsia" w:ascii="宋体" w:hAnsi="宋体" w:eastAsia="宋体" w:cs="宋体"/>
          <w:color w:val="auto"/>
          <w:szCs w:val="21"/>
          <w:highlight w:val="none"/>
        </w:rPr>
        <w:br w:type="page"/>
      </w:r>
    </w:p>
    <w:p>
      <w:pPr>
        <w:bidi w:val="0"/>
        <w:jc w:val="center"/>
        <w:rPr>
          <w:rFonts w:hint="eastAsia" w:ascii="宋体" w:hAnsi="宋体" w:eastAsia="宋体" w:cs="宋体"/>
          <w:color w:val="auto"/>
          <w:szCs w:val="21"/>
          <w:highlight w:val="none"/>
        </w:rPr>
      </w:pPr>
    </w:p>
    <w:p>
      <w:pPr>
        <w:pStyle w:val="5"/>
        <w:bidi w:val="0"/>
        <w:jc w:val="center"/>
        <w:rPr>
          <w:rFonts w:hint="eastAsia"/>
          <w:color w:val="auto"/>
          <w:highlight w:val="none"/>
        </w:rPr>
      </w:pPr>
      <w:bookmarkStart w:id="155" w:name="_Toc3823"/>
      <w:r>
        <w:rPr>
          <w:rFonts w:hint="eastAsia"/>
          <w:color w:val="auto"/>
          <w:highlight w:val="none"/>
        </w:rPr>
        <w:t>八、分包工程施工组织设计/方案</w:t>
      </w:r>
      <w:bookmarkEnd w:id="155"/>
    </w:p>
    <w:p>
      <w:pPr>
        <w:jc w:val="center"/>
        <w:rPr>
          <w:rFonts w:hint="eastAsia" w:ascii="宋体" w:hAnsi="宋体" w:eastAsia="宋体" w:cs="宋体"/>
          <w:b/>
          <w:color w:val="auto"/>
          <w:kern w:val="0"/>
          <w:sz w:val="24"/>
          <w:szCs w:val="24"/>
          <w:highlight w:val="none"/>
        </w:rPr>
      </w:pP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（要求编制施工组织设计的分包项目，其内容及格式等应符合本招标文件</w:t>
      </w:r>
      <w:r>
        <w:rPr>
          <w:rFonts w:hint="eastAsia" w:ascii="宋体" w:hAnsi="宋体" w:eastAsia="宋体" w:cs="宋体"/>
          <w:color w:val="auto"/>
          <w:szCs w:val="21"/>
          <w:highlight w:val="none"/>
          <w:lang w:val="en-US" w:eastAsia="zh-CN"/>
        </w:rPr>
        <w:t>第二篇</w:t>
      </w:r>
      <w:r>
        <w:rPr>
          <w:rFonts w:hint="eastAsia" w:ascii="宋体" w:hAnsi="宋体" w:eastAsia="宋体" w:cs="宋体"/>
          <w:color w:val="auto"/>
          <w:szCs w:val="21"/>
          <w:highlight w:val="none"/>
        </w:rPr>
        <w:t>第二</w:t>
      </w:r>
      <w:r>
        <w:rPr>
          <w:rFonts w:hint="eastAsia" w:ascii="宋体" w:hAnsi="宋体" w:eastAsia="宋体" w:cs="宋体"/>
          <w:color w:val="auto"/>
          <w:szCs w:val="21"/>
          <w:highlight w:val="none"/>
          <w:lang w:val="en-US" w:eastAsia="zh-CN"/>
        </w:rPr>
        <w:t>章</w:t>
      </w:r>
      <w:r>
        <w:rPr>
          <w:rFonts w:hint="eastAsia" w:ascii="宋体" w:hAnsi="宋体" w:eastAsia="宋体" w:cs="宋体"/>
          <w:color w:val="auto"/>
          <w:szCs w:val="21"/>
          <w:highlight w:val="none"/>
        </w:rPr>
        <w:t>“分包工程施工组织设计编制基本要求”，未要求编写施工组织设计的分包项目，应编写施工组织方案，其内容应包括机械、人工等投入及工期、质量、安全、文明施工保证措施等。）</w:t>
      </w:r>
    </w:p>
    <w:p>
      <w:pPr>
        <w:spacing w:line="420" w:lineRule="exact"/>
        <w:ind w:left="420" w:leftChars="200"/>
        <w:rPr>
          <w:rFonts w:hint="eastAsia" w:ascii="宋体" w:hAnsi="宋体" w:eastAsia="宋体" w:cs="宋体"/>
          <w:color w:val="auto"/>
          <w:szCs w:val="21"/>
          <w:highlight w:val="none"/>
        </w:rPr>
      </w:pPr>
    </w:p>
    <w:p>
      <w:pPr>
        <w:spacing w:line="420" w:lineRule="exact"/>
        <w:ind w:left="420" w:leftChars="200"/>
        <w:rPr>
          <w:rFonts w:hint="eastAsia" w:ascii="宋体" w:hAnsi="宋体" w:eastAsia="宋体" w:cs="宋体"/>
          <w:color w:val="auto"/>
          <w:szCs w:val="21"/>
          <w:highlight w:val="none"/>
        </w:rPr>
      </w:pPr>
    </w:p>
    <w:p>
      <w:pPr>
        <w:spacing w:line="420" w:lineRule="exact"/>
        <w:ind w:left="420" w:leftChars="200"/>
        <w:rPr>
          <w:rFonts w:hint="eastAsia" w:ascii="宋体" w:hAnsi="宋体" w:eastAsia="宋体" w:cs="宋体"/>
          <w:color w:val="auto"/>
          <w:szCs w:val="21"/>
          <w:highlight w:val="none"/>
        </w:rPr>
      </w:pPr>
    </w:p>
    <w:p>
      <w:pPr>
        <w:spacing w:line="420" w:lineRule="exact"/>
        <w:ind w:left="420" w:left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施工组织设计或施工组织方案除采用文字表述外可附下列图表，图表及格式要求附后（可根据实际情况进行选用，其中附表一、附表二必须提供）。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附表一  拟投入本工程的主要施工设备表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附表二  劳动力计划表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附表三  计划开、竣工日期和施工进度网络图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附表四  施工总平面图</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Cs w:val="21"/>
          <w:highlight w:val="none"/>
        </w:rPr>
        <w:t>附表一：拟投入本工程的主要施工设备表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881"/>
        <w:gridCol w:w="850"/>
        <w:gridCol w:w="1134"/>
        <w:gridCol w:w="1559"/>
        <w:gridCol w:w="1134"/>
        <w:gridCol w:w="1560"/>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jc w:val="center"/>
        </w:trPr>
        <w:tc>
          <w:tcPr>
            <w:tcW w:w="644"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064"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设备名称</w:t>
            </w:r>
          </w:p>
        </w:tc>
        <w:tc>
          <w:tcPr>
            <w:tcW w:w="672"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型号规格</w:t>
            </w:r>
          </w:p>
        </w:tc>
        <w:tc>
          <w:tcPr>
            <w:tcW w:w="881"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  量</w:t>
            </w:r>
          </w:p>
        </w:tc>
        <w:tc>
          <w:tcPr>
            <w:tcW w:w="850"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国别产地</w:t>
            </w:r>
          </w:p>
        </w:tc>
        <w:tc>
          <w:tcPr>
            <w:tcW w:w="1134"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制造年份</w:t>
            </w:r>
          </w:p>
        </w:tc>
        <w:tc>
          <w:tcPr>
            <w:tcW w:w="1559"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额定功率（KW）</w:t>
            </w:r>
          </w:p>
        </w:tc>
        <w:tc>
          <w:tcPr>
            <w:tcW w:w="1134"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生产能力</w:t>
            </w:r>
          </w:p>
        </w:tc>
        <w:tc>
          <w:tcPr>
            <w:tcW w:w="1560"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用于施工部位</w:t>
            </w:r>
          </w:p>
        </w:tc>
        <w:tc>
          <w:tcPr>
            <w:tcW w:w="708"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both"/>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bl>
    <w:p>
      <w:pPr>
        <w:spacing w:line="420" w:lineRule="exact"/>
        <w:ind w:firstLine="420" w:firstLineChars="200"/>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Cs w:val="21"/>
          <w:highlight w:val="none"/>
        </w:rPr>
        <w:t>附表二：劳动力计划表</w:t>
      </w:r>
    </w:p>
    <w:p>
      <w:pPr>
        <w:spacing w:line="420" w:lineRule="exact"/>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单位： 人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1145"/>
        <w:gridCol w:w="1144"/>
        <w:gridCol w:w="1144"/>
        <w:gridCol w:w="1143"/>
        <w:gridCol w:w="1144"/>
        <w:gridCol w:w="1143"/>
        <w:gridCol w:w="1149"/>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Merge w:val="restart"/>
            <w:vAlign w:val="center"/>
          </w:tcPr>
          <w:p>
            <w:pPr>
              <w:ind w:firstLine="210" w:firstLineChars="1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145" w:type="dxa"/>
            <w:vMerge w:val="restart"/>
            <w:vAlign w:val="center"/>
          </w:tcPr>
          <w:p>
            <w:pPr>
              <w:ind w:firstLine="210" w:firstLineChars="1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工种</w:t>
            </w:r>
          </w:p>
        </w:tc>
        <w:tc>
          <w:tcPr>
            <w:tcW w:w="6867" w:type="dxa"/>
            <w:gridSpan w:val="6"/>
            <w:vAlign w:val="center"/>
          </w:tcPr>
          <w:p>
            <w:pPr>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按工程施工阶段投入劳动力情况</w:t>
            </w:r>
          </w:p>
        </w:tc>
        <w:tc>
          <w:tcPr>
            <w:tcW w:w="1133" w:type="dxa"/>
            <w:vMerge w:val="restart"/>
            <w:vAlign w:val="center"/>
          </w:tcPr>
          <w:p>
            <w:pPr>
              <w:ind w:firstLine="210" w:firstLineChars="1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Merge w:val="continue"/>
            <w:vAlign w:val="center"/>
          </w:tcPr>
          <w:p>
            <w:pPr>
              <w:ind w:firstLine="420" w:firstLineChars="200"/>
              <w:jc w:val="center"/>
              <w:rPr>
                <w:rFonts w:hint="eastAsia" w:ascii="宋体" w:hAnsi="宋体" w:eastAsia="宋体" w:cs="宋体"/>
                <w:color w:val="auto"/>
                <w:szCs w:val="21"/>
                <w:highlight w:val="none"/>
              </w:rPr>
            </w:pPr>
          </w:p>
        </w:tc>
        <w:tc>
          <w:tcPr>
            <w:tcW w:w="1145" w:type="dxa"/>
            <w:vMerge w:val="continue"/>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Merge w:val="continue"/>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bl>
    <w:p>
      <w:pPr>
        <w:spacing w:line="420" w:lineRule="exact"/>
        <w:ind w:firstLine="420" w:firstLineChars="200"/>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Cs w:val="21"/>
          <w:highlight w:val="none"/>
        </w:rPr>
        <w:t>附表三：计划开、竣工日期和施工进度网络图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1．投标人应递交施工进度网络图或施工进度表，说明按招标文件要求的计划工期进行施工的各个关键日期。</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2．施工进度表可采用网络图和（或）横道图表示。</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Cs w:val="21"/>
          <w:highlight w:val="none"/>
        </w:rPr>
        <w:t>附表四：施工总平面图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投标人应递交一份施工总平面图，绘出现场临时设施布置图表并附文字说明，说明临时设施、加工车间、现场办公、设备及仓储、供电、供水、卫生、生活、道路、消防等设施的情况和布置。</w:t>
      </w:r>
    </w:p>
    <w:p>
      <w:pPr>
        <w:spacing w:line="460" w:lineRule="exact"/>
        <w:rPr>
          <w:rFonts w:hint="eastAsia" w:ascii="宋体" w:hAnsi="宋体" w:eastAsia="宋体" w:cs="宋体"/>
          <w:color w:val="auto"/>
          <w:szCs w:val="21"/>
          <w:highlight w:val="none"/>
        </w:rPr>
      </w:pPr>
    </w:p>
    <w:p>
      <w:pPr>
        <w:pStyle w:val="5"/>
        <w:spacing w:before="0" w:after="0" w:line="600" w:lineRule="exact"/>
        <w:jc w:val="center"/>
        <w:outlineLvl w:val="2"/>
        <w:rPr>
          <w:rFonts w:hint="eastAsia" w:ascii="宋体" w:hAnsi="宋体" w:eastAsia="宋体" w:cs="宋体"/>
          <w:bCs w:val="0"/>
          <w:color w:val="auto"/>
          <w:sz w:val="28"/>
          <w:szCs w:val="28"/>
          <w:highlight w:val="none"/>
        </w:rPr>
      </w:pPr>
      <w:r>
        <w:rPr>
          <w:rFonts w:hint="eastAsia" w:ascii="宋体" w:hAnsi="宋体" w:eastAsia="宋体" w:cs="宋体"/>
          <w:b w:val="0"/>
          <w:color w:val="auto"/>
          <w:sz w:val="28"/>
          <w:szCs w:val="28"/>
          <w:highlight w:val="none"/>
        </w:rPr>
        <w:br w:type="page"/>
      </w:r>
      <w:bookmarkStart w:id="156" w:name="_Toc9589"/>
      <w:bookmarkStart w:id="157" w:name="_Toc7725"/>
      <w:r>
        <w:rPr>
          <w:rFonts w:hint="eastAsia" w:ascii="宋体" w:hAnsi="宋体" w:eastAsia="宋体" w:cs="宋体"/>
          <w:bCs w:val="0"/>
          <w:color w:val="auto"/>
          <w:sz w:val="28"/>
          <w:szCs w:val="28"/>
          <w:highlight w:val="none"/>
        </w:rPr>
        <w:t>九、项目经理简历表</w:t>
      </w:r>
      <w:bookmarkEnd w:id="156"/>
      <w:bookmarkEnd w:id="157"/>
    </w:p>
    <w:p>
      <w:pPr>
        <w:jc w:val="center"/>
        <w:rPr>
          <w:rFonts w:hint="eastAsia" w:ascii="宋体" w:hAnsi="宋体" w:eastAsia="宋体" w:cs="宋体"/>
          <w:b/>
          <w:color w:val="auto"/>
          <w:kern w:val="0"/>
          <w:sz w:val="18"/>
          <w:szCs w:val="18"/>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78"/>
        <w:gridCol w:w="1073"/>
        <w:gridCol w:w="406"/>
        <w:gridCol w:w="808"/>
        <w:gridCol w:w="1213"/>
        <w:gridCol w:w="1336"/>
        <w:gridCol w:w="10"/>
        <w:gridCol w:w="703"/>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600"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  名</w:t>
            </w:r>
          </w:p>
        </w:tc>
        <w:tc>
          <w:tcPr>
            <w:tcW w:w="1151"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14"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龄</w:t>
            </w:r>
          </w:p>
        </w:tc>
        <w:tc>
          <w:tcPr>
            <w:tcW w:w="1213"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2049" w:type="dxa"/>
            <w:gridSpan w:val="3"/>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学  历</w:t>
            </w:r>
          </w:p>
        </w:tc>
        <w:tc>
          <w:tcPr>
            <w:tcW w:w="1640"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600"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  称</w:t>
            </w:r>
          </w:p>
        </w:tc>
        <w:tc>
          <w:tcPr>
            <w:tcW w:w="1151"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14"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  务</w:t>
            </w:r>
          </w:p>
        </w:tc>
        <w:tc>
          <w:tcPr>
            <w:tcW w:w="1213"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2049" w:type="dxa"/>
            <w:gridSpan w:val="3"/>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拟在本合同任职</w:t>
            </w:r>
          </w:p>
        </w:tc>
        <w:tc>
          <w:tcPr>
            <w:tcW w:w="1640"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1600"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参加工作时间</w:t>
            </w:r>
          </w:p>
        </w:tc>
        <w:tc>
          <w:tcPr>
            <w:tcW w:w="3578" w:type="dxa"/>
            <w:gridSpan w:val="5"/>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2049" w:type="dxa"/>
            <w:gridSpan w:val="3"/>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担任项目</w:t>
            </w:r>
          </w:p>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经理年限</w:t>
            </w:r>
          </w:p>
        </w:tc>
        <w:tc>
          <w:tcPr>
            <w:tcW w:w="1640"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exact"/>
          <w:jc w:val="center"/>
        </w:trPr>
        <w:tc>
          <w:tcPr>
            <w:tcW w:w="1600" w:type="dxa"/>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持有的执业资格证书</w:t>
            </w:r>
          </w:p>
        </w:tc>
        <w:tc>
          <w:tcPr>
            <w:tcW w:w="3578" w:type="dxa"/>
            <w:gridSpan w:val="5"/>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336"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证书编号</w:t>
            </w:r>
          </w:p>
        </w:tc>
        <w:tc>
          <w:tcPr>
            <w:tcW w:w="2353" w:type="dxa"/>
            <w:gridSpan w:val="3"/>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600"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毕业学校</w:t>
            </w:r>
          </w:p>
        </w:tc>
        <w:tc>
          <w:tcPr>
            <w:tcW w:w="7267" w:type="dxa"/>
            <w:gridSpan w:val="9"/>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67" w:type="dxa"/>
            <w:gridSpan w:val="10"/>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678"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时  间</w:t>
            </w:r>
          </w:p>
        </w:tc>
        <w:tc>
          <w:tcPr>
            <w:tcW w:w="1479"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3367" w:type="dxa"/>
            <w:gridSpan w:val="4"/>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项目概况（建设面积、合同价）</w:t>
            </w:r>
          </w:p>
        </w:tc>
        <w:tc>
          <w:tcPr>
            <w:tcW w:w="2343"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678" w:type="dxa"/>
            <w:gridSpan w:val="2"/>
            <w:vAlign w:val="center"/>
          </w:tcPr>
          <w:p>
            <w:pPr>
              <w:rPr>
                <w:rFonts w:hint="eastAsia" w:ascii="宋体" w:hAnsi="宋体" w:eastAsia="宋体" w:cs="宋体"/>
                <w:color w:val="auto"/>
                <w:sz w:val="24"/>
                <w:highlight w:val="none"/>
              </w:rPr>
            </w:pPr>
          </w:p>
        </w:tc>
        <w:tc>
          <w:tcPr>
            <w:tcW w:w="1479" w:type="dxa"/>
            <w:gridSpan w:val="2"/>
            <w:vAlign w:val="center"/>
          </w:tcPr>
          <w:p>
            <w:pPr>
              <w:rPr>
                <w:rFonts w:hint="eastAsia" w:ascii="宋体" w:hAnsi="宋体" w:eastAsia="宋体" w:cs="宋体"/>
                <w:color w:val="auto"/>
                <w:sz w:val="24"/>
                <w:highlight w:val="none"/>
              </w:rPr>
            </w:pPr>
          </w:p>
        </w:tc>
        <w:tc>
          <w:tcPr>
            <w:tcW w:w="3367" w:type="dxa"/>
            <w:gridSpan w:val="4"/>
            <w:vAlign w:val="center"/>
          </w:tcPr>
          <w:p>
            <w:pPr>
              <w:jc w:val="center"/>
              <w:rPr>
                <w:rFonts w:hint="eastAsia" w:ascii="宋体" w:hAnsi="宋体" w:eastAsia="宋体" w:cs="宋体"/>
                <w:color w:val="auto"/>
                <w:sz w:val="24"/>
                <w:highlight w:val="none"/>
              </w:rPr>
            </w:pPr>
          </w:p>
        </w:tc>
        <w:tc>
          <w:tcPr>
            <w:tcW w:w="2343" w:type="dxa"/>
            <w:gridSpan w:val="2"/>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678" w:type="dxa"/>
            <w:gridSpan w:val="2"/>
            <w:vAlign w:val="center"/>
          </w:tcPr>
          <w:p>
            <w:pPr>
              <w:rPr>
                <w:rFonts w:hint="eastAsia" w:ascii="宋体" w:hAnsi="宋体" w:eastAsia="宋体" w:cs="宋体"/>
                <w:color w:val="auto"/>
                <w:sz w:val="24"/>
                <w:highlight w:val="none"/>
              </w:rPr>
            </w:pPr>
          </w:p>
        </w:tc>
        <w:tc>
          <w:tcPr>
            <w:tcW w:w="1479" w:type="dxa"/>
            <w:gridSpan w:val="2"/>
            <w:vAlign w:val="center"/>
          </w:tcPr>
          <w:p>
            <w:pPr>
              <w:rPr>
                <w:rFonts w:hint="eastAsia" w:ascii="宋体" w:hAnsi="宋体" w:eastAsia="宋体" w:cs="宋体"/>
                <w:color w:val="auto"/>
                <w:sz w:val="24"/>
                <w:highlight w:val="none"/>
              </w:rPr>
            </w:pPr>
          </w:p>
        </w:tc>
        <w:tc>
          <w:tcPr>
            <w:tcW w:w="3367" w:type="dxa"/>
            <w:gridSpan w:val="4"/>
            <w:vAlign w:val="center"/>
          </w:tcPr>
          <w:p>
            <w:pPr>
              <w:rPr>
                <w:rFonts w:hint="eastAsia" w:ascii="宋体" w:hAnsi="宋体" w:eastAsia="宋体" w:cs="宋体"/>
                <w:color w:val="auto"/>
                <w:sz w:val="24"/>
                <w:highlight w:val="none"/>
              </w:rPr>
            </w:pPr>
          </w:p>
        </w:tc>
        <w:tc>
          <w:tcPr>
            <w:tcW w:w="2343" w:type="dxa"/>
            <w:gridSpan w:val="2"/>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678" w:type="dxa"/>
            <w:gridSpan w:val="2"/>
            <w:vAlign w:val="center"/>
          </w:tcPr>
          <w:p>
            <w:pPr>
              <w:rPr>
                <w:rFonts w:hint="eastAsia" w:ascii="宋体" w:hAnsi="宋体" w:eastAsia="宋体" w:cs="宋体"/>
                <w:color w:val="auto"/>
                <w:sz w:val="24"/>
                <w:highlight w:val="none"/>
              </w:rPr>
            </w:pPr>
          </w:p>
        </w:tc>
        <w:tc>
          <w:tcPr>
            <w:tcW w:w="1479" w:type="dxa"/>
            <w:gridSpan w:val="2"/>
            <w:vAlign w:val="center"/>
          </w:tcPr>
          <w:p>
            <w:pPr>
              <w:rPr>
                <w:rFonts w:hint="eastAsia" w:ascii="宋体" w:hAnsi="宋体" w:eastAsia="宋体" w:cs="宋体"/>
                <w:color w:val="auto"/>
                <w:sz w:val="24"/>
                <w:highlight w:val="none"/>
              </w:rPr>
            </w:pPr>
          </w:p>
        </w:tc>
        <w:tc>
          <w:tcPr>
            <w:tcW w:w="3367" w:type="dxa"/>
            <w:gridSpan w:val="4"/>
            <w:vAlign w:val="center"/>
          </w:tcPr>
          <w:p>
            <w:pPr>
              <w:rPr>
                <w:rFonts w:hint="eastAsia" w:ascii="宋体" w:hAnsi="宋体" w:eastAsia="宋体" w:cs="宋体"/>
                <w:color w:val="auto"/>
                <w:sz w:val="24"/>
                <w:highlight w:val="none"/>
              </w:rPr>
            </w:pPr>
          </w:p>
        </w:tc>
        <w:tc>
          <w:tcPr>
            <w:tcW w:w="2343" w:type="dxa"/>
            <w:gridSpan w:val="2"/>
            <w:vAlign w:val="center"/>
          </w:tcPr>
          <w:p>
            <w:pPr>
              <w:rPr>
                <w:rFonts w:hint="eastAsia" w:ascii="宋体" w:hAnsi="宋体" w:eastAsia="宋体" w:cs="宋体"/>
                <w:color w:val="auto"/>
                <w:sz w:val="24"/>
                <w:highlight w:val="none"/>
              </w:rPr>
            </w:pPr>
          </w:p>
        </w:tc>
      </w:tr>
    </w:tbl>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备注：项目经理应附XX建造师</w:t>
      </w:r>
      <w:r>
        <w:rPr>
          <w:rFonts w:hint="eastAsia" w:ascii="宋体" w:hAnsi="宋体" w:eastAsia="宋体" w:cs="宋体"/>
          <w:color w:val="auto"/>
          <w:szCs w:val="21"/>
          <w:highlight w:val="none"/>
          <w:lang w:val="en-US" w:eastAsia="zh-CN"/>
        </w:rPr>
        <w:t>注册</w:t>
      </w:r>
      <w:r>
        <w:rPr>
          <w:rFonts w:hint="eastAsia" w:ascii="宋体" w:hAnsi="宋体" w:eastAsia="宋体" w:cs="宋体"/>
          <w:color w:val="auto"/>
          <w:szCs w:val="21"/>
          <w:highlight w:val="none"/>
        </w:rPr>
        <w:t>证</w:t>
      </w:r>
      <w:r>
        <w:rPr>
          <w:rFonts w:hint="eastAsia" w:ascii="宋体" w:hAnsi="宋体" w:eastAsia="宋体" w:cs="宋体"/>
          <w:color w:val="auto"/>
          <w:szCs w:val="21"/>
          <w:highlight w:val="none"/>
          <w:lang w:val="en-US" w:eastAsia="zh-CN"/>
        </w:rPr>
        <w:t>书</w:t>
      </w:r>
      <w:r>
        <w:rPr>
          <w:rFonts w:hint="eastAsia" w:ascii="宋体" w:hAnsi="宋体" w:eastAsia="宋体" w:cs="宋体"/>
          <w:color w:val="auto"/>
          <w:szCs w:val="21"/>
          <w:highlight w:val="none"/>
        </w:rPr>
        <w:t>、安全生产考核合格证书、职称证、学历证、劳动合同、社保证明等复印件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项目业绩须附合同复印件、满意度调查表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若有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p>
      <w:pPr>
        <w:autoSpaceDE w:val="0"/>
        <w:autoSpaceDN w:val="0"/>
        <w:adjustRightInd w:val="0"/>
        <w:spacing w:line="520" w:lineRule="exact"/>
        <w:ind w:firstLine="435"/>
        <w:jc w:val="center"/>
        <w:rPr>
          <w:rFonts w:hint="eastAsia" w:ascii="宋体" w:hAnsi="宋体" w:eastAsia="宋体" w:cs="宋体"/>
          <w:color w:val="auto"/>
          <w:kern w:val="0"/>
          <w:sz w:val="28"/>
          <w:highlight w:val="none"/>
        </w:rPr>
      </w:pPr>
    </w:p>
    <w:p>
      <w:pPr>
        <w:autoSpaceDE w:val="0"/>
        <w:autoSpaceDN w:val="0"/>
        <w:adjustRightInd w:val="0"/>
        <w:spacing w:line="520" w:lineRule="exact"/>
        <w:ind w:firstLine="435"/>
        <w:jc w:val="center"/>
        <w:rPr>
          <w:rFonts w:hint="eastAsia" w:ascii="宋体" w:hAnsi="宋体" w:eastAsia="宋体" w:cs="宋体"/>
          <w:color w:val="auto"/>
          <w:kern w:val="0"/>
          <w:sz w:val="28"/>
          <w:highlight w:val="none"/>
        </w:rPr>
      </w:pP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rPr>
          <w:rFonts w:hint="eastAsia" w:ascii="宋体" w:hAnsi="宋体" w:eastAsia="宋体" w:cs="宋体"/>
          <w:b/>
          <w:color w:val="auto"/>
          <w:kern w:val="0"/>
          <w:sz w:val="30"/>
          <w:highlight w:val="none"/>
        </w:rPr>
      </w:pPr>
    </w:p>
    <w:p>
      <w:pPr>
        <w:pStyle w:val="5"/>
        <w:spacing w:before="0" w:after="0" w:line="600" w:lineRule="exact"/>
        <w:jc w:val="center"/>
        <w:outlineLvl w:val="2"/>
        <w:rPr>
          <w:rFonts w:hint="eastAsia" w:ascii="宋体" w:hAnsi="宋体" w:eastAsia="宋体" w:cs="宋体"/>
          <w:bCs w:val="0"/>
          <w:color w:val="auto"/>
          <w:sz w:val="28"/>
          <w:szCs w:val="28"/>
          <w:highlight w:val="none"/>
        </w:rPr>
      </w:pPr>
      <w:r>
        <w:rPr>
          <w:rFonts w:hint="eastAsia" w:ascii="宋体" w:hAnsi="宋体" w:eastAsia="宋体" w:cs="宋体"/>
          <w:b w:val="0"/>
          <w:color w:val="auto"/>
          <w:sz w:val="28"/>
          <w:szCs w:val="28"/>
          <w:highlight w:val="none"/>
        </w:rPr>
        <w:br w:type="page"/>
      </w:r>
      <w:bookmarkStart w:id="158" w:name="_Toc16917"/>
      <w:bookmarkStart w:id="159" w:name="_Toc28597"/>
      <w:r>
        <w:rPr>
          <w:rFonts w:hint="eastAsia" w:ascii="宋体" w:hAnsi="宋体" w:eastAsia="宋体" w:cs="宋体"/>
          <w:bCs w:val="0"/>
          <w:color w:val="auto"/>
          <w:sz w:val="28"/>
          <w:szCs w:val="28"/>
          <w:highlight w:val="none"/>
        </w:rPr>
        <w:t>十、技术负责人简历表</w:t>
      </w:r>
      <w:bookmarkEnd w:id="158"/>
      <w:bookmarkEnd w:id="159"/>
    </w:p>
    <w:p>
      <w:pPr>
        <w:jc w:val="center"/>
        <w:rPr>
          <w:rFonts w:hint="eastAsia" w:ascii="宋体" w:hAnsi="宋体" w:eastAsia="宋体" w:cs="宋体"/>
          <w:b/>
          <w:color w:val="auto"/>
          <w:kern w:val="0"/>
          <w:sz w:val="18"/>
          <w:szCs w:val="18"/>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404"/>
        <w:gridCol w:w="1073"/>
        <w:gridCol w:w="406"/>
        <w:gridCol w:w="808"/>
        <w:gridCol w:w="1213"/>
        <w:gridCol w:w="1346"/>
        <w:gridCol w:w="703"/>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74"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  名</w:t>
            </w:r>
          </w:p>
        </w:tc>
        <w:tc>
          <w:tcPr>
            <w:tcW w:w="1477"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14"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龄</w:t>
            </w:r>
          </w:p>
        </w:tc>
        <w:tc>
          <w:tcPr>
            <w:tcW w:w="1213"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2049"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学  历</w:t>
            </w:r>
          </w:p>
        </w:tc>
        <w:tc>
          <w:tcPr>
            <w:tcW w:w="1640"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74"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  称</w:t>
            </w:r>
          </w:p>
        </w:tc>
        <w:tc>
          <w:tcPr>
            <w:tcW w:w="1477"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14"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  务</w:t>
            </w:r>
          </w:p>
        </w:tc>
        <w:tc>
          <w:tcPr>
            <w:tcW w:w="1213"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2049"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拟在本合同任职</w:t>
            </w:r>
          </w:p>
        </w:tc>
        <w:tc>
          <w:tcPr>
            <w:tcW w:w="1640"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74"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毕业学校</w:t>
            </w:r>
          </w:p>
        </w:tc>
        <w:tc>
          <w:tcPr>
            <w:tcW w:w="7593" w:type="dxa"/>
            <w:gridSpan w:val="8"/>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67" w:type="dxa"/>
            <w:gridSpan w:val="9"/>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678"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时  间</w:t>
            </w:r>
          </w:p>
        </w:tc>
        <w:tc>
          <w:tcPr>
            <w:tcW w:w="1479"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3367" w:type="dxa"/>
            <w:gridSpan w:val="3"/>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项目概况（建设面积、合同价）</w:t>
            </w:r>
          </w:p>
        </w:tc>
        <w:tc>
          <w:tcPr>
            <w:tcW w:w="2343"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678" w:type="dxa"/>
            <w:gridSpan w:val="2"/>
            <w:vAlign w:val="center"/>
          </w:tcPr>
          <w:p>
            <w:pPr>
              <w:rPr>
                <w:rFonts w:hint="eastAsia" w:ascii="宋体" w:hAnsi="宋体" w:eastAsia="宋体" w:cs="宋体"/>
                <w:color w:val="auto"/>
                <w:sz w:val="24"/>
                <w:highlight w:val="none"/>
              </w:rPr>
            </w:pPr>
          </w:p>
        </w:tc>
        <w:tc>
          <w:tcPr>
            <w:tcW w:w="1479" w:type="dxa"/>
            <w:gridSpan w:val="2"/>
            <w:vAlign w:val="center"/>
          </w:tcPr>
          <w:p>
            <w:pPr>
              <w:rPr>
                <w:rFonts w:hint="eastAsia" w:ascii="宋体" w:hAnsi="宋体" w:eastAsia="宋体" w:cs="宋体"/>
                <w:color w:val="auto"/>
                <w:sz w:val="24"/>
                <w:highlight w:val="none"/>
              </w:rPr>
            </w:pPr>
          </w:p>
        </w:tc>
        <w:tc>
          <w:tcPr>
            <w:tcW w:w="3367" w:type="dxa"/>
            <w:gridSpan w:val="3"/>
            <w:vAlign w:val="center"/>
          </w:tcPr>
          <w:p>
            <w:pPr>
              <w:rPr>
                <w:rFonts w:hint="eastAsia" w:ascii="宋体" w:hAnsi="宋体" w:eastAsia="宋体" w:cs="宋体"/>
                <w:color w:val="auto"/>
                <w:sz w:val="24"/>
                <w:highlight w:val="none"/>
              </w:rPr>
            </w:pPr>
          </w:p>
        </w:tc>
        <w:tc>
          <w:tcPr>
            <w:tcW w:w="2343" w:type="dxa"/>
            <w:gridSpan w:val="2"/>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678" w:type="dxa"/>
            <w:gridSpan w:val="2"/>
            <w:vAlign w:val="center"/>
          </w:tcPr>
          <w:p>
            <w:pPr>
              <w:rPr>
                <w:rFonts w:hint="eastAsia" w:ascii="宋体" w:hAnsi="宋体" w:eastAsia="宋体" w:cs="宋体"/>
                <w:color w:val="auto"/>
                <w:sz w:val="24"/>
                <w:highlight w:val="none"/>
              </w:rPr>
            </w:pPr>
          </w:p>
        </w:tc>
        <w:tc>
          <w:tcPr>
            <w:tcW w:w="1479" w:type="dxa"/>
            <w:gridSpan w:val="2"/>
            <w:vAlign w:val="center"/>
          </w:tcPr>
          <w:p>
            <w:pPr>
              <w:rPr>
                <w:rFonts w:hint="eastAsia" w:ascii="宋体" w:hAnsi="宋体" w:eastAsia="宋体" w:cs="宋体"/>
                <w:color w:val="auto"/>
                <w:sz w:val="24"/>
                <w:highlight w:val="none"/>
              </w:rPr>
            </w:pPr>
          </w:p>
        </w:tc>
        <w:tc>
          <w:tcPr>
            <w:tcW w:w="3367" w:type="dxa"/>
            <w:gridSpan w:val="3"/>
            <w:vAlign w:val="center"/>
          </w:tcPr>
          <w:p>
            <w:pPr>
              <w:rPr>
                <w:rFonts w:hint="eastAsia" w:ascii="宋体" w:hAnsi="宋体" w:eastAsia="宋体" w:cs="宋体"/>
                <w:color w:val="auto"/>
                <w:sz w:val="24"/>
                <w:highlight w:val="none"/>
              </w:rPr>
            </w:pPr>
          </w:p>
        </w:tc>
        <w:tc>
          <w:tcPr>
            <w:tcW w:w="2343" w:type="dxa"/>
            <w:gridSpan w:val="2"/>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678" w:type="dxa"/>
            <w:gridSpan w:val="2"/>
            <w:vAlign w:val="center"/>
          </w:tcPr>
          <w:p>
            <w:pPr>
              <w:rPr>
                <w:rFonts w:hint="eastAsia" w:ascii="宋体" w:hAnsi="宋体" w:eastAsia="宋体" w:cs="宋体"/>
                <w:color w:val="auto"/>
                <w:sz w:val="24"/>
                <w:highlight w:val="none"/>
              </w:rPr>
            </w:pPr>
          </w:p>
        </w:tc>
        <w:tc>
          <w:tcPr>
            <w:tcW w:w="1479" w:type="dxa"/>
            <w:gridSpan w:val="2"/>
            <w:vAlign w:val="center"/>
          </w:tcPr>
          <w:p>
            <w:pPr>
              <w:rPr>
                <w:rFonts w:hint="eastAsia" w:ascii="宋体" w:hAnsi="宋体" w:eastAsia="宋体" w:cs="宋体"/>
                <w:color w:val="auto"/>
                <w:sz w:val="24"/>
                <w:highlight w:val="none"/>
              </w:rPr>
            </w:pPr>
          </w:p>
        </w:tc>
        <w:tc>
          <w:tcPr>
            <w:tcW w:w="3367" w:type="dxa"/>
            <w:gridSpan w:val="3"/>
            <w:vAlign w:val="center"/>
          </w:tcPr>
          <w:p>
            <w:pPr>
              <w:rPr>
                <w:rFonts w:hint="eastAsia" w:ascii="宋体" w:hAnsi="宋体" w:eastAsia="宋体" w:cs="宋体"/>
                <w:color w:val="auto"/>
                <w:sz w:val="24"/>
                <w:highlight w:val="none"/>
              </w:rPr>
            </w:pPr>
          </w:p>
        </w:tc>
        <w:tc>
          <w:tcPr>
            <w:tcW w:w="2343" w:type="dxa"/>
            <w:gridSpan w:val="2"/>
            <w:vAlign w:val="center"/>
          </w:tcPr>
          <w:p>
            <w:pPr>
              <w:rPr>
                <w:rFonts w:hint="eastAsia" w:ascii="宋体" w:hAnsi="宋体" w:eastAsia="宋体" w:cs="宋体"/>
                <w:color w:val="auto"/>
                <w:sz w:val="24"/>
                <w:highlight w:val="none"/>
              </w:rPr>
            </w:pPr>
          </w:p>
        </w:tc>
      </w:tr>
    </w:tbl>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备注：技术负责人应附</w:t>
      </w:r>
      <w:r>
        <w:rPr>
          <w:rFonts w:hint="eastAsia" w:ascii="宋体" w:hAnsi="宋体" w:eastAsia="宋体" w:cs="宋体"/>
          <w:color w:val="auto"/>
          <w:szCs w:val="21"/>
          <w:highlight w:val="none"/>
          <w:lang w:val="en-US" w:eastAsia="zh-CN"/>
        </w:rPr>
        <w:t>职业资格证书、</w:t>
      </w:r>
      <w:r>
        <w:rPr>
          <w:rFonts w:hint="eastAsia" w:ascii="宋体" w:hAnsi="宋体" w:eastAsia="宋体" w:cs="宋体"/>
          <w:color w:val="auto"/>
          <w:szCs w:val="21"/>
          <w:highlight w:val="none"/>
        </w:rPr>
        <w:t>安全生产考核合格证书、职称证、学历证复印件、劳动合同、社保证明等。项目业绩须附合同复印件、满意度调查表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若有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4"/>
          <w:highlight w:val="none"/>
        </w:rPr>
        <w:t xml:space="preserve">                             </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pStyle w:val="5"/>
        <w:spacing w:before="0" w:after="0" w:line="600" w:lineRule="exact"/>
        <w:jc w:val="center"/>
        <w:outlineLvl w:val="2"/>
        <w:rPr>
          <w:rFonts w:hint="eastAsia" w:ascii="宋体" w:hAnsi="宋体" w:eastAsia="宋体" w:cs="宋体"/>
          <w:bCs w:val="0"/>
          <w:color w:val="auto"/>
          <w:sz w:val="28"/>
          <w:szCs w:val="28"/>
          <w:highlight w:val="none"/>
        </w:rPr>
      </w:pPr>
      <w:r>
        <w:rPr>
          <w:rFonts w:hint="eastAsia" w:ascii="宋体" w:hAnsi="宋体" w:eastAsia="宋体" w:cs="宋体"/>
          <w:b w:val="0"/>
          <w:color w:val="auto"/>
          <w:sz w:val="28"/>
          <w:szCs w:val="28"/>
          <w:highlight w:val="none"/>
        </w:rPr>
        <w:br w:type="page"/>
      </w:r>
      <w:bookmarkStart w:id="160" w:name="_Toc19727"/>
      <w:bookmarkStart w:id="161" w:name="_Toc8082"/>
      <w:r>
        <w:rPr>
          <w:rFonts w:hint="eastAsia" w:ascii="宋体" w:hAnsi="宋体" w:eastAsia="宋体" w:cs="宋体"/>
          <w:bCs w:val="0"/>
          <w:color w:val="auto"/>
          <w:sz w:val="28"/>
          <w:szCs w:val="28"/>
          <w:highlight w:val="none"/>
        </w:rPr>
        <w:t>十一、拟委任的其他主要管理人员表</w:t>
      </w:r>
      <w:bookmarkEnd w:id="160"/>
      <w:bookmarkEnd w:id="161"/>
    </w:p>
    <w:p>
      <w:pPr>
        <w:jc w:val="center"/>
        <w:rPr>
          <w:rFonts w:hint="eastAsia" w:ascii="宋体" w:hAnsi="宋体" w:eastAsia="宋体" w:cs="宋体"/>
          <w:b/>
          <w:color w:val="auto"/>
          <w:kern w:val="0"/>
          <w:sz w:val="18"/>
          <w:szCs w:val="18"/>
          <w:highlight w:val="none"/>
        </w:rPr>
      </w:pP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1"/>
        <w:gridCol w:w="1060"/>
        <w:gridCol w:w="2223"/>
        <w:gridCol w:w="1075"/>
        <w:gridCol w:w="1079"/>
        <w:gridCol w:w="1718"/>
        <w:gridCol w:w="10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2" w:hRule="atLeast"/>
          <w:jc w:val="center"/>
        </w:trPr>
        <w:tc>
          <w:tcPr>
            <w:tcW w:w="891"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060"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年龄</w:t>
            </w:r>
          </w:p>
        </w:tc>
        <w:tc>
          <w:tcPr>
            <w:tcW w:w="2223"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拟在本项目中</w:t>
            </w:r>
          </w:p>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担任的职务</w:t>
            </w:r>
          </w:p>
        </w:tc>
        <w:tc>
          <w:tcPr>
            <w:tcW w:w="1075"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w:t>
            </w:r>
          </w:p>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职称</w:t>
            </w:r>
          </w:p>
        </w:tc>
        <w:tc>
          <w:tcPr>
            <w:tcW w:w="1079"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工作</w:t>
            </w:r>
          </w:p>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年限</w:t>
            </w:r>
          </w:p>
        </w:tc>
        <w:tc>
          <w:tcPr>
            <w:tcW w:w="1718"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类似施工</w:t>
            </w:r>
          </w:p>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经验年限</w:t>
            </w:r>
          </w:p>
        </w:tc>
        <w:tc>
          <w:tcPr>
            <w:tcW w:w="1096" w:type="dxa"/>
          </w:tcPr>
          <w:p>
            <w:pPr>
              <w:autoSpaceDE w:val="0"/>
              <w:autoSpaceDN w:val="0"/>
              <w:adjustRightInd w:val="0"/>
              <w:spacing w:line="360" w:lineRule="auto"/>
              <w:jc w:val="center"/>
              <w:rPr>
                <w:rFonts w:hint="eastAsia" w:ascii="宋体" w:hAnsi="宋体" w:eastAsia="宋体" w:cs="宋体"/>
                <w:color w:val="auto"/>
                <w:kern w:val="0"/>
                <w:szCs w:val="21"/>
                <w:highlight w:val="none"/>
              </w:rPr>
            </w:pPr>
          </w:p>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891" w:type="dxa"/>
            <w:vAlign w:val="center"/>
          </w:tcPr>
          <w:p>
            <w:pPr>
              <w:jc w:val="center"/>
              <w:rPr>
                <w:rFonts w:hint="eastAsia" w:ascii="宋体" w:hAnsi="宋体" w:eastAsia="宋体" w:cs="宋体"/>
                <w:color w:val="auto"/>
                <w:sz w:val="24"/>
                <w:szCs w:val="24"/>
                <w:highlight w:val="none"/>
              </w:rPr>
            </w:pPr>
          </w:p>
        </w:tc>
        <w:tc>
          <w:tcPr>
            <w:tcW w:w="1060" w:type="dxa"/>
            <w:vAlign w:val="center"/>
          </w:tcPr>
          <w:p>
            <w:pPr>
              <w:jc w:val="center"/>
              <w:rPr>
                <w:rFonts w:hint="eastAsia" w:ascii="宋体" w:hAnsi="宋体" w:eastAsia="宋体" w:cs="宋体"/>
                <w:color w:val="auto"/>
                <w:sz w:val="24"/>
                <w:szCs w:val="24"/>
                <w:highlight w:val="none"/>
              </w:rPr>
            </w:pPr>
          </w:p>
        </w:tc>
        <w:tc>
          <w:tcPr>
            <w:tcW w:w="2223" w:type="dxa"/>
            <w:vAlign w:val="center"/>
          </w:tcPr>
          <w:p>
            <w:pPr>
              <w:jc w:val="center"/>
              <w:rPr>
                <w:rFonts w:hint="eastAsia" w:ascii="宋体" w:hAnsi="宋体" w:eastAsia="宋体" w:cs="宋体"/>
                <w:color w:val="auto"/>
                <w:sz w:val="24"/>
                <w:szCs w:val="24"/>
                <w:highlight w:val="none"/>
              </w:rPr>
            </w:pPr>
          </w:p>
        </w:tc>
        <w:tc>
          <w:tcPr>
            <w:tcW w:w="1075" w:type="dxa"/>
            <w:vAlign w:val="center"/>
          </w:tcPr>
          <w:p>
            <w:pPr>
              <w:jc w:val="center"/>
              <w:rPr>
                <w:rFonts w:hint="eastAsia" w:ascii="宋体" w:hAnsi="宋体" w:eastAsia="宋体" w:cs="宋体"/>
                <w:color w:val="auto"/>
                <w:sz w:val="24"/>
                <w:szCs w:val="24"/>
                <w:highlight w:val="none"/>
              </w:rPr>
            </w:pPr>
          </w:p>
        </w:tc>
        <w:tc>
          <w:tcPr>
            <w:tcW w:w="1079" w:type="dxa"/>
            <w:vAlign w:val="center"/>
          </w:tcPr>
          <w:p>
            <w:pPr>
              <w:jc w:val="center"/>
              <w:rPr>
                <w:rFonts w:hint="eastAsia" w:ascii="宋体" w:hAnsi="宋体" w:eastAsia="宋体" w:cs="宋体"/>
                <w:color w:val="auto"/>
                <w:sz w:val="24"/>
                <w:szCs w:val="24"/>
                <w:highlight w:val="none"/>
              </w:rPr>
            </w:pPr>
          </w:p>
        </w:tc>
        <w:tc>
          <w:tcPr>
            <w:tcW w:w="1718" w:type="dxa"/>
            <w:vAlign w:val="center"/>
          </w:tcPr>
          <w:p>
            <w:pPr>
              <w:jc w:val="center"/>
              <w:rPr>
                <w:rFonts w:hint="eastAsia" w:ascii="宋体" w:hAnsi="宋体" w:eastAsia="宋体" w:cs="宋体"/>
                <w:color w:val="auto"/>
                <w:sz w:val="24"/>
                <w:szCs w:val="24"/>
                <w:highlight w:val="none"/>
              </w:rPr>
            </w:pPr>
          </w:p>
        </w:tc>
        <w:tc>
          <w:tcPr>
            <w:tcW w:w="1096" w:type="dxa"/>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891" w:type="dxa"/>
            <w:vAlign w:val="center"/>
          </w:tcPr>
          <w:p>
            <w:pPr>
              <w:jc w:val="center"/>
              <w:rPr>
                <w:rFonts w:hint="eastAsia" w:ascii="宋体" w:hAnsi="宋体" w:eastAsia="宋体" w:cs="宋体"/>
                <w:color w:val="auto"/>
                <w:sz w:val="24"/>
                <w:szCs w:val="24"/>
                <w:highlight w:val="none"/>
              </w:rPr>
            </w:pPr>
          </w:p>
        </w:tc>
        <w:tc>
          <w:tcPr>
            <w:tcW w:w="1060" w:type="dxa"/>
            <w:vAlign w:val="center"/>
          </w:tcPr>
          <w:p>
            <w:pPr>
              <w:jc w:val="center"/>
              <w:rPr>
                <w:rFonts w:hint="eastAsia" w:ascii="宋体" w:hAnsi="宋体" w:eastAsia="宋体" w:cs="宋体"/>
                <w:color w:val="auto"/>
                <w:sz w:val="24"/>
                <w:szCs w:val="24"/>
                <w:highlight w:val="none"/>
              </w:rPr>
            </w:pPr>
          </w:p>
        </w:tc>
        <w:tc>
          <w:tcPr>
            <w:tcW w:w="2223" w:type="dxa"/>
            <w:vAlign w:val="center"/>
          </w:tcPr>
          <w:p>
            <w:pPr>
              <w:jc w:val="center"/>
              <w:rPr>
                <w:rFonts w:hint="eastAsia" w:ascii="宋体" w:hAnsi="宋体" w:eastAsia="宋体" w:cs="宋体"/>
                <w:color w:val="auto"/>
                <w:sz w:val="24"/>
                <w:szCs w:val="24"/>
                <w:highlight w:val="none"/>
              </w:rPr>
            </w:pPr>
          </w:p>
        </w:tc>
        <w:tc>
          <w:tcPr>
            <w:tcW w:w="1075" w:type="dxa"/>
            <w:vAlign w:val="center"/>
          </w:tcPr>
          <w:p>
            <w:pPr>
              <w:jc w:val="center"/>
              <w:rPr>
                <w:rFonts w:hint="eastAsia" w:ascii="宋体" w:hAnsi="宋体" w:eastAsia="宋体" w:cs="宋体"/>
                <w:color w:val="auto"/>
                <w:sz w:val="24"/>
                <w:szCs w:val="24"/>
                <w:highlight w:val="none"/>
              </w:rPr>
            </w:pPr>
          </w:p>
        </w:tc>
        <w:tc>
          <w:tcPr>
            <w:tcW w:w="1079" w:type="dxa"/>
            <w:vAlign w:val="center"/>
          </w:tcPr>
          <w:p>
            <w:pPr>
              <w:jc w:val="center"/>
              <w:rPr>
                <w:rFonts w:hint="eastAsia" w:ascii="宋体" w:hAnsi="宋体" w:eastAsia="宋体" w:cs="宋体"/>
                <w:color w:val="auto"/>
                <w:sz w:val="24"/>
                <w:szCs w:val="24"/>
                <w:highlight w:val="none"/>
              </w:rPr>
            </w:pPr>
          </w:p>
        </w:tc>
        <w:tc>
          <w:tcPr>
            <w:tcW w:w="1718" w:type="dxa"/>
            <w:vAlign w:val="center"/>
          </w:tcPr>
          <w:p>
            <w:pPr>
              <w:jc w:val="center"/>
              <w:rPr>
                <w:rFonts w:hint="eastAsia" w:ascii="宋体" w:hAnsi="宋体" w:eastAsia="宋体" w:cs="宋体"/>
                <w:color w:val="auto"/>
                <w:sz w:val="24"/>
                <w:szCs w:val="24"/>
                <w:highlight w:val="none"/>
              </w:rPr>
            </w:pPr>
          </w:p>
        </w:tc>
        <w:tc>
          <w:tcPr>
            <w:tcW w:w="1096" w:type="dxa"/>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891" w:type="dxa"/>
            <w:vAlign w:val="center"/>
          </w:tcPr>
          <w:p>
            <w:pPr>
              <w:jc w:val="center"/>
              <w:rPr>
                <w:rFonts w:hint="eastAsia" w:ascii="宋体" w:hAnsi="宋体" w:eastAsia="宋体" w:cs="宋体"/>
                <w:color w:val="auto"/>
                <w:sz w:val="24"/>
                <w:szCs w:val="24"/>
                <w:highlight w:val="none"/>
              </w:rPr>
            </w:pPr>
          </w:p>
        </w:tc>
        <w:tc>
          <w:tcPr>
            <w:tcW w:w="1060" w:type="dxa"/>
            <w:vAlign w:val="center"/>
          </w:tcPr>
          <w:p>
            <w:pPr>
              <w:jc w:val="center"/>
              <w:rPr>
                <w:rFonts w:hint="eastAsia" w:ascii="宋体" w:hAnsi="宋体" w:eastAsia="宋体" w:cs="宋体"/>
                <w:color w:val="auto"/>
                <w:sz w:val="24"/>
                <w:szCs w:val="24"/>
                <w:highlight w:val="none"/>
              </w:rPr>
            </w:pPr>
          </w:p>
        </w:tc>
        <w:tc>
          <w:tcPr>
            <w:tcW w:w="2223" w:type="dxa"/>
            <w:vAlign w:val="center"/>
          </w:tcPr>
          <w:p>
            <w:pPr>
              <w:jc w:val="center"/>
              <w:rPr>
                <w:rFonts w:hint="eastAsia" w:ascii="宋体" w:hAnsi="宋体" w:eastAsia="宋体" w:cs="宋体"/>
                <w:color w:val="auto"/>
                <w:sz w:val="24"/>
                <w:szCs w:val="24"/>
                <w:highlight w:val="none"/>
              </w:rPr>
            </w:pPr>
          </w:p>
        </w:tc>
        <w:tc>
          <w:tcPr>
            <w:tcW w:w="1075" w:type="dxa"/>
            <w:vAlign w:val="center"/>
          </w:tcPr>
          <w:p>
            <w:pPr>
              <w:jc w:val="center"/>
              <w:rPr>
                <w:rFonts w:hint="eastAsia" w:ascii="宋体" w:hAnsi="宋体" w:eastAsia="宋体" w:cs="宋体"/>
                <w:color w:val="auto"/>
                <w:sz w:val="24"/>
                <w:szCs w:val="24"/>
                <w:highlight w:val="none"/>
              </w:rPr>
            </w:pPr>
          </w:p>
        </w:tc>
        <w:tc>
          <w:tcPr>
            <w:tcW w:w="1079" w:type="dxa"/>
            <w:vAlign w:val="center"/>
          </w:tcPr>
          <w:p>
            <w:pPr>
              <w:jc w:val="center"/>
              <w:rPr>
                <w:rFonts w:hint="eastAsia" w:ascii="宋体" w:hAnsi="宋体" w:eastAsia="宋体" w:cs="宋体"/>
                <w:color w:val="auto"/>
                <w:sz w:val="24"/>
                <w:szCs w:val="24"/>
                <w:highlight w:val="none"/>
              </w:rPr>
            </w:pPr>
          </w:p>
        </w:tc>
        <w:tc>
          <w:tcPr>
            <w:tcW w:w="1718" w:type="dxa"/>
            <w:vAlign w:val="center"/>
          </w:tcPr>
          <w:p>
            <w:pPr>
              <w:jc w:val="center"/>
              <w:rPr>
                <w:rFonts w:hint="eastAsia" w:ascii="宋体" w:hAnsi="宋体" w:eastAsia="宋体" w:cs="宋体"/>
                <w:color w:val="auto"/>
                <w:sz w:val="24"/>
                <w:szCs w:val="24"/>
                <w:highlight w:val="none"/>
              </w:rPr>
            </w:pPr>
          </w:p>
        </w:tc>
        <w:tc>
          <w:tcPr>
            <w:tcW w:w="1096" w:type="dxa"/>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891" w:type="dxa"/>
            <w:vAlign w:val="center"/>
          </w:tcPr>
          <w:p>
            <w:pPr>
              <w:jc w:val="center"/>
              <w:rPr>
                <w:rFonts w:hint="eastAsia" w:ascii="宋体" w:hAnsi="宋体" w:eastAsia="宋体" w:cs="宋体"/>
                <w:color w:val="auto"/>
                <w:sz w:val="24"/>
                <w:szCs w:val="24"/>
                <w:highlight w:val="none"/>
              </w:rPr>
            </w:pPr>
          </w:p>
        </w:tc>
        <w:tc>
          <w:tcPr>
            <w:tcW w:w="1060" w:type="dxa"/>
            <w:vAlign w:val="center"/>
          </w:tcPr>
          <w:p>
            <w:pPr>
              <w:jc w:val="center"/>
              <w:rPr>
                <w:rFonts w:hint="eastAsia" w:ascii="宋体" w:hAnsi="宋体" w:eastAsia="宋体" w:cs="宋体"/>
                <w:color w:val="auto"/>
                <w:sz w:val="24"/>
                <w:szCs w:val="24"/>
                <w:highlight w:val="none"/>
              </w:rPr>
            </w:pPr>
          </w:p>
        </w:tc>
        <w:tc>
          <w:tcPr>
            <w:tcW w:w="2223" w:type="dxa"/>
            <w:vAlign w:val="center"/>
          </w:tcPr>
          <w:p>
            <w:pPr>
              <w:jc w:val="center"/>
              <w:rPr>
                <w:rFonts w:hint="eastAsia" w:ascii="宋体" w:hAnsi="宋体" w:eastAsia="宋体" w:cs="宋体"/>
                <w:color w:val="auto"/>
                <w:sz w:val="24"/>
                <w:szCs w:val="24"/>
                <w:highlight w:val="none"/>
              </w:rPr>
            </w:pPr>
          </w:p>
        </w:tc>
        <w:tc>
          <w:tcPr>
            <w:tcW w:w="1075" w:type="dxa"/>
            <w:vAlign w:val="center"/>
          </w:tcPr>
          <w:p>
            <w:pPr>
              <w:jc w:val="center"/>
              <w:rPr>
                <w:rFonts w:hint="eastAsia" w:ascii="宋体" w:hAnsi="宋体" w:eastAsia="宋体" w:cs="宋体"/>
                <w:color w:val="auto"/>
                <w:sz w:val="24"/>
                <w:szCs w:val="24"/>
                <w:highlight w:val="none"/>
              </w:rPr>
            </w:pPr>
          </w:p>
        </w:tc>
        <w:tc>
          <w:tcPr>
            <w:tcW w:w="1079" w:type="dxa"/>
            <w:vAlign w:val="center"/>
          </w:tcPr>
          <w:p>
            <w:pPr>
              <w:jc w:val="center"/>
              <w:rPr>
                <w:rFonts w:hint="eastAsia" w:ascii="宋体" w:hAnsi="宋体" w:eastAsia="宋体" w:cs="宋体"/>
                <w:color w:val="auto"/>
                <w:sz w:val="24"/>
                <w:szCs w:val="24"/>
                <w:highlight w:val="none"/>
              </w:rPr>
            </w:pPr>
          </w:p>
        </w:tc>
        <w:tc>
          <w:tcPr>
            <w:tcW w:w="1718" w:type="dxa"/>
            <w:vAlign w:val="center"/>
          </w:tcPr>
          <w:p>
            <w:pPr>
              <w:jc w:val="center"/>
              <w:rPr>
                <w:rFonts w:hint="eastAsia" w:ascii="宋体" w:hAnsi="宋体" w:eastAsia="宋体" w:cs="宋体"/>
                <w:color w:val="auto"/>
                <w:sz w:val="24"/>
                <w:szCs w:val="24"/>
                <w:highlight w:val="none"/>
              </w:rPr>
            </w:pPr>
          </w:p>
        </w:tc>
        <w:tc>
          <w:tcPr>
            <w:tcW w:w="1096" w:type="dxa"/>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891" w:type="dxa"/>
            <w:vAlign w:val="center"/>
          </w:tcPr>
          <w:p>
            <w:pPr>
              <w:jc w:val="center"/>
              <w:rPr>
                <w:rFonts w:hint="eastAsia" w:ascii="宋体" w:hAnsi="宋体" w:eastAsia="宋体" w:cs="宋体"/>
                <w:color w:val="auto"/>
                <w:sz w:val="24"/>
                <w:szCs w:val="24"/>
                <w:highlight w:val="none"/>
              </w:rPr>
            </w:pPr>
          </w:p>
        </w:tc>
        <w:tc>
          <w:tcPr>
            <w:tcW w:w="1060" w:type="dxa"/>
            <w:vAlign w:val="center"/>
          </w:tcPr>
          <w:p>
            <w:pPr>
              <w:jc w:val="center"/>
              <w:rPr>
                <w:rFonts w:hint="eastAsia" w:ascii="宋体" w:hAnsi="宋体" w:eastAsia="宋体" w:cs="宋体"/>
                <w:color w:val="auto"/>
                <w:sz w:val="24"/>
                <w:szCs w:val="24"/>
                <w:highlight w:val="none"/>
              </w:rPr>
            </w:pPr>
          </w:p>
        </w:tc>
        <w:tc>
          <w:tcPr>
            <w:tcW w:w="2223" w:type="dxa"/>
            <w:vAlign w:val="center"/>
          </w:tcPr>
          <w:p>
            <w:pPr>
              <w:jc w:val="center"/>
              <w:rPr>
                <w:rFonts w:hint="eastAsia" w:ascii="宋体" w:hAnsi="宋体" w:eastAsia="宋体" w:cs="宋体"/>
                <w:color w:val="auto"/>
                <w:sz w:val="24"/>
                <w:szCs w:val="24"/>
                <w:highlight w:val="none"/>
              </w:rPr>
            </w:pPr>
          </w:p>
        </w:tc>
        <w:tc>
          <w:tcPr>
            <w:tcW w:w="1075" w:type="dxa"/>
            <w:vAlign w:val="center"/>
          </w:tcPr>
          <w:p>
            <w:pPr>
              <w:jc w:val="center"/>
              <w:rPr>
                <w:rFonts w:hint="eastAsia" w:ascii="宋体" w:hAnsi="宋体" w:eastAsia="宋体" w:cs="宋体"/>
                <w:color w:val="auto"/>
                <w:sz w:val="24"/>
                <w:szCs w:val="24"/>
                <w:highlight w:val="none"/>
              </w:rPr>
            </w:pPr>
          </w:p>
        </w:tc>
        <w:tc>
          <w:tcPr>
            <w:tcW w:w="1079" w:type="dxa"/>
            <w:vAlign w:val="center"/>
          </w:tcPr>
          <w:p>
            <w:pPr>
              <w:jc w:val="center"/>
              <w:rPr>
                <w:rFonts w:hint="eastAsia" w:ascii="宋体" w:hAnsi="宋体" w:eastAsia="宋体" w:cs="宋体"/>
                <w:color w:val="auto"/>
                <w:sz w:val="24"/>
                <w:szCs w:val="24"/>
                <w:highlight w:val="none"/>
              </w:rPr>
            </w:pPr>
          </w:p>
        </w:tc>
        <w:tc>
          <w:tcPr>
            <w:tcW w:w="1718" w:type="dxa"/>
            <w:vAlign w:val="center"/>
          </w:tcPr>
          <w:p>
            <w:pPr>
              <w:jc w:val="center"/>
              <w:rPr>
                <w:rFonts w:hint="eastAsia" w:ascii="宋体" w:hAnsi="宋体" w:eastAsia="宋体" w:cs="宋体"/>
                <w:color w:val="auto"/>
                <w:sz w:val="24"/>
                <w:szCs w:val="24"/>
                <w:highlight w:val="none"/>
              </w:rPr>
            </w:pPr>
          </w:p>
        </w:tc>
        <w:tc>
          <w:tcPr>
            <w:tcW w:w="1096" w:type="dxa"/>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891" w:type="dxa"/>
            <w:vAlign w:val="center"/>
          </w:tcPr>
          <w:p>
            <w:pPr>
              <w:jc w:val="center"/>
              <w:rPr>
                <w:rFonts w:hint="eastAsia" w:ascii="宋体" w:hAnsi="宋体" w:eastAsia="宋体" w:cs="宋体"/>
                <w:color w:val="auto"/>
                <w:sz w:val="24"/>
                <w:szCs w:val="24"/>
                <w:highlight w:val="none"/>
              </w:rPr>
            </w:pPr>
          </w:p>
        </w:tc>
        <w:tc>
          <w:tcPr>
            <w:tcW w:w="1060" w:type="dxa"/>
            <w:vAlign w:val="center"/>
          </w:tcPr>
          <w:p>
            <w:pPr>
              <w:jc w:val="center"/>
              <w:rPr>
                <w:rFonts w:hint="eastAsia" w:ascii="宋体" w:hAnsi="宋体" w:eastAsia="宋体" w:cs="宋体"/>
                <w:color w:val="auto"/>
                <w:sz w:val="24"/>
                <w:szCs w:val="24"/>
                <w:highlight w:val="none"/>
              </w:rPr>
            </w:pPr>
          </w:p>
        </w:tc>
        <w:tc>
          <w:tcPr>
            <w:tcW w:w="2223" w:type="dxa"/>
            <w:vAlign w:val="center"/>
          </w:tcPr>
          <w:p>
            <w:pPr>
              <w:jc w:val="center"/>
              <w:rPr>
                <w:rFonts w:hint="eastAsia" w:ascii="宋体" w:hAnsi="宋体" w:eastAsia="宋体" w:cs="宋体"/>
                <w:color w:val="auto"/>
                <w:sz w:val="24"/>
                <w:szCs w:val="24"/>
                <w:highlight w:val="none"/>
              </w:rPr>
            </w:pPr>
          </w:p>
        </w:tc>
        <w:tc>
          <w:tcPr>
            <w:tcW w:w="1075" w:type="dxa"/>
            <w:vAlign w:val="center"/>
          </w:tcPr>
          <w:p>
            <w:pPr>
              <w:jc w:val="center"/>
              <w:rPr>
                <w:rFonts w:hint="eastAsia" w:ascii="宋体" w:hAnsi="宋体" w:eastAsia="宋体" w:cs="宋体"/>
                <w:color w:val="auto"/>
                <w:sz w:val="24"/>
                <w:szCs w:val="24"/>
                <w:highlight w:val="none"/>
              </w:rPr>
            </w:pPr>
          </w:p>
        </w:tc>
        <w:tc>
          <w:tcPr>
            <w:tcW w:w="1079" w:type="dxa"/>
            <w:vAlign w:val="center"/>
          </w:tcPr>
          <w:p>
            <w:pPr>
              <w:jc w:val="center"/>
              <w:rPr>
                <w:rFonts w:hint="eastAsia" w:ascii="宋体" w:hAnsi="宋体" w:eastAsia="宋体" w:cs="宋体"/>
                <w:color w:val="auto"/>
                <w:sz w:val="24"/>
                <w:szCs w:val="24"/>
                <w:highlight w:val="none"/>
              </w:rPr>
            </w:pPr>
          </w:p>
        </w:tc>
        <w:tc>
          <w:tcPr>
            <w:tcW w:w="1718" w:type="dxa"/>
            <w:vAlign w:val="center"/>
          </w:tcPr>
          <w:p>
            <w:pPr>
              <w:jc w:val="center"/>
              <w:rPr>
                <w:rFonts w:hint="eastAsia" w:ascii="宋体" w:hAnsi="宋体" w:eastAsia="宋体" w:cs="宋体"/>
                <w:color w:val="auto"/>
                <w:sz w:val="24"/>
                <w:szCs w:val="24"/>
                <w:highlight w:val="none"/>
              </w:rPr>
            </w:pPr>
          </w:p>
        </w:tc>
        <w:tc>
          <w:tcPr>
            <w:tcW w:w="1096" w:type="dxa"/>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891" w:type="dxa"/>
            <w:vAlign w:val="center"/>
          </w:tcPr>
          <w:p>
            <w:pPr>
              <w:jc w:val="center"/>
              <w:rPr>
                <w:rFonts w:hint="eastAsia" w:ascii="宋体" w:hAnsi="宋体" w:eastAsia="宋体" w:cs="宋体"/>
                <w:color w:val="auto"/>
                <w:sz w:val="24"/>
                <w:szCs w:val="24"/>
                <w:highlight w:val="none"/>
              </w:rPr>
            </w:pPr>
          </w:p>
        </w:tc>
        <w:tc>
          <w:tcPr>
            <w:tcW w:w="1060" w:type="dxa"/>
            <w:vAlign w:val="center"/>
          </w:tcPr>
          <w:p>
            <w:pPr>
              <w:jc w:val="center"/>
              <w:rPr>
                <w:rFonts w:hint="eastAsia" w:ascii="宋体" w:hAnsi="宋体" w:eastAsia="宋体" w:cs="宋体"/>
                <w:color w:val="auto"/>
                <w:sz w:val="24"/>
                <w:szCs w:val="24"/>
                <w:highlight w:val="none"/>
              </w:rPr>
            </w:pPr>
          </w:p>
        </w:tc>
        <w:tc>
          <w:tcPr>
            <w:tcW w:w="2223" w:type="dxa"/>
            <w:vAlign w:val="center"/>
          </w:tcPr>
          <w:p>
            <w:pPr>
              <w:jc w:val="center"/>
              <w:rPr>
                <w:rFonts w:hint="eastAsia" w:ascii="宋体" w:hAnsi="宋体" w:eastAsia="宋体" w:cs="宋体"/>
                <w:color w:val="auto"/>
                <w:sz w:val="24"/>
                <w:szCs w:val="24"/>
                <w:highlight w:val="none"/>
              </w:rPr>
            </w:pPr>
          </w:p>
        </w:tc>
        <w:tc>
          <w:tcPr>
            <w:tcW w:w="1075" w:type="dxa"/>
            <w:vAlign w:val="center"/>
          </w:tcPr>
          <w:p>
            <w:pPr>
              <w:jc w:val="center"/>
              <w:rPr>
                <w:rFonts w:hint="eastAsia" w:ascii="宋体" w:hAnsi="宋体" w:eastAsia="宋体" w:cs="宋体"/>
                <w:color w:val="auto"/>
                <w:sz w:val="24"/>
                <w:szCs w:val="24"/>
                <w:highlight w:val="none"/>
              </w:rPr>
            </w:pPr>
          </w:p>
        </w:tc>
        <w:tc>
          <w:tcPr>
            <w:tcW w:w="1079" w:type="dxa"/>
            <w:vAlign w:val="center"/>
          </w:tcPr>
          <w:p>
            <w:pPr>
              <w:jc w:val="center"/>
              <w:rPr>
                <w:rFonts w:hint="eastAsia" w:ascii="宋体" w:hAnsi="宋体" w:eastAsia="宋体" w:cs="宋体"/>
                <w:color w:val="auto"/>
                <w:sz w:val="24"/>
                <w:szCs w:val="24"/>
                <w:highlight w:val="none"/>
              </w:rPr>
            </w:pPr>
          </w:p>
        </w:tc>
        <w:tc>
          <w:tcPr>
            <w:tcW w:w="1718" w:type="dxa"/>
            <w:vAlign w:val="center"/>
          </w:tcPr>
          <w:p>
            <w:pPr>
              <w:jc w:val="center"/>
              <w:rPr>
                <w:rFonts w:hint="eastAsia" w:ascii="宋体" w:hAnsi="宋体" w:eastAsia="宋体" w:cs="宋体"/>
                <w:color w:val="auto"/>
                <w:sz w:val="24"/>
                <w:szCs w:val="24"/>
                <w:highlight w:val="none"/>
              </w:rPr>
            </w:pPr>
          </w:p>
        </w:tc>
        <w:tc>
          <w:tcPr>
            <w:tcW w:w="1096" w:type="dxa"/>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891" w:type="dxa"/>
            <w:vAlign w:val="center"/>
          </w:tcPr>
          <w:p>
            <w:pPr>
              <w:jc w:val="center"/>
              <w:rPr>
                <w:rFonts w:hint="eastAsia" w:ascii="宋体" w:hAnsi="宋体" w:eastAsia="宋体" w:cs="宋体"/>
                <w:color w:val="auto"/>
                <w:sz w:val="24"/>
                <w:szCs w:val="24"/>
                <w:highlight w:val="none"/>
              </w:rPr>
            </w:pPr>
          </w:p>
        </w:tc>
        <w:tc>
          <w:tcPr>
            <w:tcW w:w="1060" w:type="dxa"/>
            <w:vAlign w:val="center"/>
          </w:tcPr>
          <w:p>
            <w:pPr>
              <w:jc w:val="center"/>
              <w:rPr>
                <w:rFonts w:hint="eastAsia" w:ascii="宋体" w:hAnsi="宋体" w:eastAsia="宋体" w:cs="宋体"/>
                <w:color w:val="auto"/>
                <w:sz w:val="24"/>
                <w:szCs w:val="24"/>
                <w:highlight w:val="none"/>
              </w:rPr>
            </w:pPr>
          </w:p>
        </w:tc>
        <w:tc>
          <w:tcPr>
            <w:tcW w:w="2223" w:type="dxa"/>
            <w:vAlign w:val="center"/>
          </w:tcPr>
          <w:p>
            <w:pPr>
              <w:jc w:val="center"/>
              <w:rPr>
                <w:rFonts w:hint="eastAsia" w:ascii="宋体" w:hAnsi="宋体" w:eastAsia="宋体" w:cs="宋体"/>
                <w:color w:val="auto"/>
                <w:sz w:val="24"/>
                <w:szCs w:val="24"/>
                <w:highlight w:val="none"/>
              </w:rPr>
            </w:pPr>
          </w:p>
        </w:tc>
        <w:tc>
          <w:tcPr>
            <w:tcW w:w="1075" w:type="dxa"/>
            <w:vAlign w:val="center"/>
          </w:tcPr>
          <w:p>
            <w:pPr>
              <w:jc w:val="center"/>
              <w:rPr>
                <w:rFonts w:hint="eastAsia" w:ascii="宋体" w:hAnsi="宋体" w:eastAsia="宋体" w:cs="宋体"/>
                <w:color w:val="auto"/>
                <w:sz w:val="24"/>
                <w:szCs w:val="24"/>
                <w:highlight w:val="none"/>
              </w:rPr>
            </w:pPr>
          </w:p>
        </w:tc>
        <w:tc>
          <w:tcPr>
            <w:tcW w:w="1079" w:type="dxa"/>
            <w:vAlign w:val="center"/>
          </w:tcPr>
          <w:p>
            <w:pPr>
              <w:jc w:val="center"/>
              <w:rPr>
                <w:rFonts w:hint="eastAsia" w:ascii="宋体" w:hAnsi="宋体" w:eastAsia="宋体" w:cs="宋体"/>
                <w:color w:val="auto"/>
                <w:sz w:val="24"/>
                <w:szCs w:val="24"/>
                <w:highlight w:val="none"/>
              </w:rPr>
            </w:pPr>
          </w:p>
        </w:tc>
        <w:tc>
          <w:tcPr>
            <w:tcW w:w="1718" w:type="dxa"/>
            <w:vAlign w:val="center"/>
          </w:tcPr>
          <w:p>
            <w:pPr>
              <w:jc w:val="center"/>
              <w:rPr>
                <w:rFonts w:hint="eastAsia" w:ascii="宋体" w:hAnsi="宋体" w:eastAsia="宋体" w:cs="宋体"/>
                <w:color w:val="auto"/>
                <w:sz w:val="24"/>
                <w:szCs w:val="24"/>
                <w:highlight w:val="none"/>
              </w:rPr>
            </w:pPr>
          </w:p>
        </w:tc>
        <w:tc>
          <w:tcPr>
            <w:tcW w:w="1096" w:type="dxa"/>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891" w:type="dxa"/>
            <w:vAlign w:val="center"/>
          </w:tcPr>
          <w:p>
            <w:pPr>
              <w:jc w:val="center"/>
              <w:rPr>
                <w:rFonts w:hint="eastAsia" w:ascii="宋体" w:hAnsi="宋体" w:eastAsia="宋体" w:cs="宋体"/>
                <w:color w:val="auto"/>
                <w:sz w:val="24"/>
                <w:szCs w:val="24"/>
                <w:highlight w:val="none"/>
              </w:rPr>
            </w:pPr>
          </w:p>
        </w:tc>
        <w:tc>
          <w:tcPr>
            <w:tcW w:w="1060" w:type="dxa"/>
            <w:vAlign w:val="center"/>
          </w:tcPr>
          <w:p>
            <w:pPr>
              <w:jc w:val="center"/>
              <w:rPr>
                <w:rFonts w:hint="eastAsia" w:ascii="宋体" w:hAnsi="宋体" w:eastAsia="宋体" w:cs="宋体"/>
                <w:color w:val="auto"/>
                <w:sz w:val="24"/>
                <w:szCs w:val="24"/>
                <w:highlight w:val="none"/>
              </w:rPr>
            </w:pPr>
          </w:p>
        </w:tc>
        <w:tc>
          <w:tcPr>
            <w:tcW w:w="2223" w:type="dxa"/>
            <w:vAlign w:val="center"/>
          </w:tcPr>
          <w:p>
            <w:pPr>
              <w:jc w:val="center"/>
              <w:rPr>
                <w:rFonts w:hint="eastAsia" w:ascii="宋体" w:hAnsi="宋体" w:eastAsia="宋体" w:cs="宋体"/>
                <w:color w:val="auto"/>
                <w:sz w:val="24"/>
                <w:szCs w:val="24"/>
                <w:highlight w:val="none"/>
              </w:rPr>
            </w:pPr>
          </w:p>
        </w:tc>
        <w:tc>
          <w:tcPr>
            <w:tcW w:w="1075" w:type="dxa"/>
            <w:vAlign w:val="center"/>
          </w:tcPr>
          <w:p>
            <w:pPr>
              <w:jc w:val="center"/>
              <w:rPr>
                <w:rFonts w:hint="eastAsia" w:ascii="宋体" w:hAnsi="宋体" w:eastAsia="宋体" w:cs="宋体"/>
                <w:color w:val="auto"/>
                <w:sz w:val="24"/>
                <w:szCs w:val="24"/>
                <w:highlight w:val="none"/>
              </w:rPr>
            </w:pPr>
          </w:p>
        </w:tc>
        <w:tc>
          <w:tcPr>
            <w:tcW w:w="1079" w:type="dxa"/>
            <w:vAlign w:val="center"/>
          </w:tcPr>
          <w:p>
            <w:pPr>
              <w:jc w:val="center"/>
              <w:rPr>
                <w:rFonts w:hint="eastAsia" w:ascii="宋体" w:hAnsi="宋体" w:eastAsia="宋体" w:cs="宋体"/>
                <w:color w:val="auto"/>
                <w:sz w:val="24"/>
                <w:szCs w:val="24"/>
                <w:highlight w:val="none"/>
              </w:rPr>
            </w:pPr>
          </w:p>
        </w:tc>
        <w:tc>
          <w:tcPr>
            <w:tcW w:w="1718" w:type="dxa"/>
            <w:vAlign w:val="center"/>
          </w:tcPr>
          <w:p>
            <w:pPr>
              <w:jc w:val="center"/>
              <w:rPr>
                <w:rFonts w:hint="eastAsia" w:ascii="宋体" w:hAnsi="宋体" w:eastAsia="宋体" w:cs="宋体"/>
                <w:color w:val="auto"/>
                <w:sz w:val="24"/>
                <w:szCs w:val="24"/>
                <w:highlight w:val="none"/>
              </w:rPr>
            </w:pPr>
          </w:p>
        </w:tc>
        <w:tc>
          <w:tcPr>
            <w:tcW w:w="1096" w:type="dxa"/>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891" w:type="dxa"/>
            <w:vAlign w:val="center"/>
          </w:tcPr>
          <w:p>
            <w:pPr>
              <w:jc w:val="center"/>
              <w:rPr>
                <w:rFonts w:hint="eastAsia" w:ascii="宋体" w:hAnsi="宋体" w:eastAsia="宋体" w:cs="宋体"/>
                <w:color w:val="auto"/>
                <w:sz w:val="24"/>
                <w:szCs w:val="24"/>
                <w:highlight w:val="none"/>
              </w:rPr>
            </w:pPr>
          </w:p>
        </w:tc>
        <w:tc>
          <w:tcPr>
            <w:tcW w:w="1060" w:type="dxa"/>
            <w:vAlign w:val="center"/>
          </w:tcPr>
          <w:p>
            <w:pPr>
              <w:jc w:val="center"/>
              <w:rPr>
                <w:rFonts w:hint="eastAsia" w:ascii="宋体" w:hAnsi="宋体" w:eastAsia="宋体" w:cs="宋体"/>
                <w:color w:val="auto"/>
                <w:sz w:val="24"/>
                <w:szCs w:val="24"/>
                <w:highlight w:val="none"/>
              </w:rPr>
            </w:pPr>
          </w:p>
        </w:tc>
        <w:tc>
          <w:tcPr>
            <w:tcW w:w="2223" w:type="dxa"/>
            <w:vAlign w:val="center"/>
          </w:tcPr>
          <w:p>
            <w:pPr>
              <w:jc w:val="center"/>
              <w:rPr>
                <w:rFonts w:hint="eastAsia" w:ascii="宋体" w:hAnsi="宋体" w:eastAsia="宋体" w:cs="宋体"/>
                <w:color w:val="auto"/>
                <w:sz w:val="24"/>
                <w:szCs w:val="24"/>
                <w:highlight w:val="none"/>
              </w:rPr>
            </w:pPr>
          </w:p>
        </w:tc>
        <w:tc>
          <w:tcPr>
            <w:tcW w:w="1075" w:type="dxa"/>
            <w:vAlign w:val="center"/>
          </w:tcPr>
          <w:p>
            <w:pPr>
              <w:jc w:val="center"/>
              <w:rPr>
                <w:rFonts w:hint="eastAsia" w:ascii="宋体" w:hAnsi="宋体" w:eastAsia="宋体" w:cs="宋体"/>
                <w:color w:val="auto"/>
                <w:sz w:val="24"/>
                <w:szCs w:val="24"/>
                <w:highlight w:val="none"/>
              </w:rPr>
            </w:pPr>
          </w:p>
        </w:tc>
        <w:tc>
          <w:tcPr>
            <w:tcW w:w="1079" w:type="dxa"/>
            <w:vAlign w:val="center"/>
          </w:tcPr>
          <w:p>
            <w:pPr>
              <w:jc w:val="center"/>
              <w:rPr>
                <w:rFonts w:hint="eastAsia" w:ascii="宋体" w:hAnsi="宋体" w:eastAsia="宋体" w:cs="宋体"/>
                <w:color w:val="auto"/>
                <w:sz w:val="24"/>
                <w:szCs w:val="24"/>
                <w:highlight w:val="none"/>
              </w:rPr>
            </w:pPr>
          </w:p>
        </w:tc>
        <w:tc>
          <w:tcPr>
            <w:tcW w:w="1718" w:type="dxa"/>
            <w:vAlign w:val="center"/>
          </w:tcPr>
          <w:p>
            <w:pPr>
              <w:jc w:val="center"/>
              <w:rPr>
                <w:rFonts w:hint="eastAsia" w:ascii="宋体" w:hAnsi="宋体" w:eastAsia="宋体" w:cs="宋体"/>
                <w:color w:val="auto"/>
                <w:sz w:val="24"/>
                <w:szCs w:val="24"/>
                <w:highlight w:val="none"/>
              </w:rPr>
            </w:pPr>
          </w:p>
        </w:tc>
        <w:tc>
          <w:tcPr>
            <w:tcW w:w="1096" w:type="dxa"/>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891" w:type="dxa"/>
            <w:vAlign w:val="center"/>
          </w:tcPr>
          <w:p>
            <w:pPr>
              <w:jc w:val="center"/>
              <w:rPr>
                <w:rFonts w:hint="eastAsia" w:ascii="宋体" w:hAnsi="宋体" w:eastAsia="宋体" w:cs="宋体"/>
                <w:color w:val="auto"/>
                <w:sz w:val="24"/>
                <w:szCs w:val="24"/>
                <w:highlight w:val="none"/>
              </w:rPr>
            </w:pPr>
          </w:p>
        </w:tc>
        <w:tc>
          <w:tcPr>
            <w:tcW w:w="1060" w:type="dxa"/>
            <w:vAlign w:val="center"/>
          </w:tcPr>
          <w:p>
            <w:pPr>
              <w:jc w:val="center"/>
              <w:rPr>
                <w:rFonts w:hint="eastAsia" w:ascii="宋体" w:hAnsi="宋体" w:eastAsia="宋体" w:cs="宋体"/>
                <w:color w:val="auto"/>
                <w:sz w:val="24"/>
                <w:szCs w:val="24"/>
                <w:highlight w:val="none"/>
              </w:rPr>
            </w:pPr>
          </w:p>
        </w:tc>
        <w:tc>
          <w:tcPr>
            <w:tcW w:w="2223" w:type="dxa"/>
            <w:vAlign w:val="center"/>
          </w:tcPr>
          <w:p>
            <w:pPr>
              <w:jc w:val="center"/>
              <w:rPr>
                <w:rFonts w:hint="eastAsia" w:ascii="宋体" w:hAnsi="宋体" w:eastAsia="宋体" w:cs="宋体"/>
                <w:color w:val="auto"/>
                <w:sz w:val="24"/>
                <w:szCs w:val="24"/>
                <w:highlight w:val="none"/>
              </w:rPr>
            </w:pPr>
          </w:p>
        </w:tc>
        <w:tc>
          <w:tcPr>
            <w:tcW w:w="1075" w:type="dxa"/>
            <w:vAlign w:val="center"/>
          </w:tcPr>
          <w:p>
            <w:pPr>
              <w:jc w:val="center"/>
              <w:rPr>
                <w:rFonts w:hint="eastAsia" w:ascii="宋体" w:hAnsi="宋体" w:eastAsia="宋体" w:cs="宋体"/>
                <w:color w:val="auto"/>
                <w:sz w:val="24"/>
                <w:szCs w:val="24"/>
                <w:highlight w:val="none"/>
              </w:rPr>
            </w:pPr>
          </w:p>
        </w:tc>
        <w:tc>
          <w:tcPr>
            <w:tcW w:w="1079" w:type="dxa"/>
            <w:vAlign w:val="center"/>
          </w:tcPr>
          <w:p>
            <w:pPr>
              <w:jc w:val="center"/>
              <w:rPr>
                <w:rFonts w:hint="eastAsia" w:ascii="宋体" w:hAnsi="宋体" w:eastAsia="宋体" w:cs="宋体"/>
                <w:color w:val="auto"/>
                <w:sz w:val="24"/>
                <w:szCs w:val="24"/>
                <w:highlight w:val="none"/>
              </w:rPr>
            </w:pPr>
          </w:p>
        </w:tc>
        <w:tc>
          <w:tcPr>
            <w:tcW w:w="1718" w:type="dxa"/>
            <w:vAlign w:val="center"/>
          </w:tcPr>
          <w:p>
            <w:pPr>
              <w:jc w:val="center"/>
              <w:rPr>
                <w:rFonts w:hint="eastAsia" w:ascii="宋体" w:hAnsi="宋体" w:eastAsia="宋体" w:cs="宋体"/>
                <w:color w:val="auto"/>
                <w:sz w:val="24"/>
                <w:szCs w:val="24"/>
                <w:highlight w:val="none"/>
              </w:rPr>
            </w:pPr>
          </w:p>
        </w:tc>
        <w:tc>
          <w:tcPr>
            <w:tcW w:w="1096" w:type="dxa"/>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891" w:type="dxa"/>
            <w:vAlign w:val="center"/>
          </w:tcPr>
          <w:p>
            <w:pPr>
              <w:jc w:val="center"/>
              <w:rPr>
                <w:rFonts w:hint="eastAsia" w:ascii="宋体" w:hAnsi="宋体" w:eastAsia="宋体" w:cs="宋体"/>
                <w:color w:val="auto"/>
                <w:sz w:val="24"/>
                <w:szCs w:val="24"/>
                <w:highlight w:val="none"/>
              </w:rPr>
            </w:pPr>
          </w:p>
        </w:tc>
        <w:tc>
          <w:tcPr>
            <w:tcW w:w="1060" w:type="dxa"/>
            <w:vAlign w:val="center"/>
          </w:tcPr>
          <w:p>
            <w:pPr>
              <w:jc w:val="center"/>
              <w:rPr>
                <w:rFonts w:hint="eastAsia" w:ascii="宋体" w:hAnsi="宋体" w:eastAsia="宋体" w:cs="宋体"/>
                <w:color w:val="auto"/>
                <w:sz w:val="24"/>
                <w:szCs w:val="24"/>
                <w:highlight w:val="none"/>
              </w:rPr>
            </w:pPr>
          </w:p>
        </w:tc>
        <w:tc>
          <w:tcPr>
            <w:tcW w:w="2223" w:type="dxa"/>
            <w:vAlign w:val="center"/>
          </w:tcPr>
          <w:p>
            <w:pPr>
              <w:jc w:val="center"/>
              <w:rPr>
                <w:rFonts w:hint="eastAsia" w:ascii="宋体" w:hAnsi="宋体" w:eastAsia="宋体" w:cs="宋体"/>
                <w:color w:val="auto"/>
                <w:sz w:val="24"/>
                <w:szCs w:val="24"/>
                <w:highlight w:val="none"/>
              </w:rPr>
            </w:pPr>
          </w:p>
        </w:tc>
        <w:tc>
          <w:tcPr>
            <w:tcW w:w="1075" w:type="dxa"/>
            <w:vAlign w:val="center"/>
          </w:tcPr>
          <w:p>
            <w:pPr>
              <w:jc w:val="center"/>
              <w:rPr>
                <w:rFonts w:hint="eastAsia" w:ascii="宋体" w:hAnsi="宋体" w:eastAsia="宋体" w:cs="宋体"/>
                <w:color w:val="auto"/>
                <w:sz w:val="24"/>
                <w:szCs w:val="24"/>
                <w:highlight w:val="none"/>
              </w:rPr>
            </w:pPr>
          </w:p>
        </w:tc>
        <w:tc>
          <w:tcPr>
            <w:tcW w:w="1079" w:type="dxa"/>
            <w:vAlign w:val="center"/>
          </w:tcPr>
          <w:p>
            <w:pPr>
              <w:jc w:val="center"/>
              <w:rPr>
                <w:rFonts w:hint="eastAsia" w:ascii="宋体" w:hAnsi="宋体" w:eastAsia="宋体" w:cs="宋体"/>
                <w:color w:val="auto"/>
                <w:sz w:val="24"/>
                <w:szCs w:val="24"/>
                <w:highlight w:val="none"/>
              </w:rPr>
            </w:pPr>
          </w:p>
        </w:tc>
        <w:tc>
          <w:tcPr>
            <w:tcW w:w="1718" w:type="dxa"/>
            <w:vAlign w:val="center"/>
          </w:tcPr>
          <w:p>
            <w:pPr>
              <w:jc w:val="center"/>
              <w:rPr>
                <w:rFonts w:hint="eastAsia" w:ascii="宋体" w:hAnsi="宋体" w:eastAsia="宋体" w:cs="宋体"/>
                <w:color w:val="auto"/>
                <w:sz w:val="24"/>
                <w:szCs w:val="24"/>
                <w:highlight w:val="none"/>
              </w:rPr>
            </w:pPr>
          </w:p>
        </w:tc>
        <w:tc>
          <w:tcPr>
            <w:tcW w:w="1096" w:type="dxa"/>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891" w:type="dxa"/>
            <w:vAlign w:val="center"/>
          </w:tcPr>
          <w:p>
            <w:pPr>
              <w:jc w:val="center"/>
              <w:rPr>
                <w:rFonts w:hint="eastAsia" w:ascii="宋体" w:hAnsi="宋体" w:eastAsia="宋体" w:cs="宋体"/>
                <w:color w:val="auto"/>
                <w:sz w:val="24"/>
                <w:szCs w:val="24"/>
                <w:highlight w:val="none"/>
              </w:rPr>
            </w:pPr>
          </w:p>
        </w:tc>
        <w:tc>
          <w:tcPr>
            <w:tcW w:w="1060" w:type="dxa"/>
            <w:vAlign w:val="center"/>
          </w:tcPr>
          <w:p>
            <w:pPr>
              <w:jc w:val="center"/>
              <w:rPr>
                <w:rFonts w:hint="eastAsia" w:ascii="宋体" w:hAnsi="宋体" w:eastAsia="宋体" w:cs="宋体"/>
                <w:color w:val="auto"/>
                <w:sz w:val="24"/>
                <w:szCs w:val="24"/>
                <w:highlight w:val="none"/>
              </w:rPr>
            </w:pPr>
          </w:p>
        </w:tc>
        <w:tc>
          <w:tcPr>
            <w:tcW w:w="2223" w:type="dxa"/>
            <w:vAlign w:val="center"/>
          </w:tcPr>
          <w:p>
            <w:pPr>
              <w:jc w:val="center"/>
              <w:rPr>
                <w:rFonts w:hint="eastAsia" w:ascii="宋体" w:hAnsi="宋体" w:eastAsia="宋体" w:cs="宋体"/>
                <w:color w:val="auto"/>
                <w:sz w:val="24"/>
                <w:szCs w:val="24"/>
                <w:highlight w:val="none"/>
              </w:rPr>
            </w:pPr>
          </w:p>
        </w:tc>
        <w:tc>
          <w:tcPr>
            <w:tcW w:w="1075" w:type="dxa"/>
            <w:vAlign w:val="center"/>
          </w:tcPr>
          <w:p>
            <w:pPr>
              <w:jc w:val="center"/>
              <w:rPr>
                <w:rFonts w:hint="eastAsia" w:ascii="宋体" w:hAnsi="宋体" w:eastAsia="宋体" w:cs="宋体"/>
                <w:color w:val="auto"/>
                <w:sz w:val="24"/>
                <w:szCs w:val="24"/>
                <w:highlight w:val="none"/>
              </w:rPr>
            </w:pPr>
          </w:p>
        </w:tc>
        <w:tc>
          <w:tcPr>
            <w:tcW w:w="1079" w:type="dxa"/>
            <w:vAlign w:val="center"/>
          </w:tcPr>
          <w:p>
            <w:pPr>
              <w:jc w:val="center"/>
              <w:rPr>
                <w:rFonts w:hint="eastAsia" w:ascii="宋体" w:hAnsi="宋体" w:eastAsia="宋体" w:cs="宋体"/>
                <w:color w:val="auto"/>
                <w:sz w:val="24"/>
                <w:szCs w:val="24"/>
                <w:highlight w:val="none"/>
              </w:rPr>
            </w:pPr>
          </w:p>
        </w:tc>
        <w:tc>
          <w:tcPr>
            <w:tcW w:w="1718" w:type="dxa"/>
            <w:vAlign w:val="center"/>
          </w:tcPr>
          <w:p>
            <w:pPr>
              <w:jc w:val="center"/>
              <w:rPr>
                <w:rFonts w:hint="eastAsia" w:ascii="宋体" w:hAnsi="宋体" w:eastAsia="宋体" w:cs="宋体"/>
                <w:color w:val="auto"/>
                <w:sz w:val="24"/>
                <w:szCs w:val="24"/>
                <w:highlight w:val="none"/>
              </w:rPr>
            </w:pPr>
          </w:p>
        </w:tc>
        <w:tc>
          <w:tcPr>
            <w:tcW w:w="1096" w:type="dxa"/>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891" w:type="dxa"/>
            <w:vAlign w:val="center"/>
          </w:tcPr>
          <w:p>
            <w:pPr>
              <w:jc w:val="center"/>
              <w:rPr>
                <w:rFonts w:hint="eastAsia" w:ascii="宋体" w:hAnsi="宋体" w:eastAsia="宋体" w:cs="宋体"/>
                <w:color w:val="auto"/>
                <w:sz w:val="24"/>
                <w:szCs w:val="24"/>
                <w:highlight w:val="none"/>
              </w:rPr>
            </w:pPr>
          </w:p>
        </w:tc>
        <w:tc>
          <w:tcPr>
            <w:tcW w:w="1060" w:type="dxa"/>
            <w:vAlign w:val="center"/>
          </w:tcPr>
          <w:p>
            <w:pPr>
              <w:jc w:val="center"/>
              <w:rPr>
                <w:rFonts w:hint="eastAsia" w:ascii="宋体" w:hAnsi="宋体" w:eastAsia="宋体" w:cs="宋体"/>
                <w:color w:val="auto"/>
                <w:sz w:val="24"/>
                <w:szCs w:val="24"/>
                <w:highlight w:val="none"/>
              </w:rPr>
            </w:pPr>
          </w:p>
        </w:tc>
        <w:tc>
          <w:tcPr>
            <w:tcW w:w="2223" w:type="dxa"/>
            <w:vAlign w:val="center"/>
          </w:tcPr>
          <w:p>
            <w:pPr>
              <w:jc w:val="center"/>
              <w:rPr>
                <w:rFonts w:hint="eastAsia" w:ascii="宋体" w:hAnsi="宋体" w:eastAsia="宋体" w:cs="宋体"/>
                <w:color w:val="auto"/>
                <w:sz w:val="24"/>
                <w:szCs w:val="24"/>
                <w:highlight w:val="none"/>
              </w:rPr>
            </w:pPr>
          </w:p>
        </w:tc>
        <w:tc>
          <w:tcPr>
            <w:tcW w:w="1075" w:type="dxa"/>
            <w:vAlign w:val="center"/>
          </w:tcPr>
          <w:p>
            <w:pPr>
              <w:jc w:val="center"/>
              <w:rPr>
                <w:rFonts w:hint="eastAsia" w:ascii="宋体" w:hAnsi="宋体" w:eastAsia="宋体" w:cs="宋体"/>
                <w:color w:val="auto"/>
                <w:sz w:val="24"/>
                <w:szCs w:val="24"/>
                <w:highlight w:val="none"/>
              </w:rPr>
            </w:pPr>
          </w:p>
        </w:tc>
        <w:tc>
          <w:tcPr>
            <w:tcW w:w="1079" w:type="dxa"/>
            <w:vAlign w:val="center"/>
          </w:tcPr>
          <w:p>
            <w:pPr>
              <w:jc w:val="center"/>
              <w:rPr>
                <w:rFonts w:hint="eastAsia" w:ascii="宋体" w:hAnsi="宋体" w:eastAsia="宋体" w:cs="宋体"/>
                <w:color w:val="auto"/>
                <w:sz w:val="24"/>
                <w:szCs w:val="24"/>
                <w:highlight w:val="none"/>
              </w:rPr>
            </w:pPr>
          </w:p>
        </w:tc>
        <w:tc>
          <w:tcPr>
            <w:tcW w:w="1718" w:type="dxa"/>
            <w:vAlign w:val="center"/>
          </w:tcPr>
          <w:p>
            <w:pPr>
              <w:jc w:val="center"/>
              <w:rPr>
                <w:rFonts w:hint="eastAsia" w:ascii="宋体" w:hAnsi="宋体" w:eastAsia="宋体" w:cs="宋体"/>
                <w:color w:val="auto"/>
                <w:sz w:val="24"/>
                <w:szCs w:val="24"/>
                <w:highlight w:val="none"/>
              </w:rPr>
            </w:pPr>
          </w:p>
        </w:tc>
        <w:tc>
          <w:tcPr>
            <w:tcW w:w="1096" w:type="dxa"/>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891" w:type="dxa"/>
            <w:vAlign w:val="center"/>
          </w:tcPr>
          <w:p>
            <w:pPr>
              <w:jc w:val="center"/>
              <w:rPr>
                <w:rFonts w:hint="eastAsia" w:ascii="宋体" w:hAnsi="宋体" w:eastAsia="宋体" w:cs="宋体"/>
                <w:color w:val="auto"/>
                <w:sz w:val="24"/>
                <w:szCs w:val="24"/>
                <w:highlight w:val="none"/>
              </w:rPr>
            </w:pPr>
          </w:p>
        </w:tc>
        <w:tc>
          <w:tcPr>
            <w:tcW w:w="1060" w:type="dxa"/>
            <w:vAlign w:val="center"/>
          </w:tcPr>
          <w:p>
            <w:pPr>
              <w:jc w:val="center"/>
              <w:rPr>
                <w:rFonts w:hint="eastAsia" w:ascii="宋体" w:hAnsi="宋体" w:eastAsia="宋体" w:cs="宋体"/>
                <w:color w:val="auto"/>
                <w:sz w:val="24"/>
                <w:szCs w:val="24"/>
                <w:highlight w:val="none"/>
              </w:rPr>
            </w:pPr>
          </w:p>
        </w:tc>
        <w:tc>
          <w:tcPr>
            <w:tcW w:w="2223" w:type="dxa"/>
            <w:vAlign w:val="center"/>
          </w:tcPr>
          <w:p>
            <w:pPr>
              <w:jc w:val="center"/>
              <w:rPr>
                <w:rFonts w:hint="eastAsia" w:ascii="宋体" w:hAnsi="宋体" w:eastAsia="宋体" w:cs="宋体"/>
                <w:color w:val="auto"/>
                <w:sz w:val="24"/>
                <w:szCs w:val="24"/>
                <w:highlight w:val="none"/>
              </w:rPr>
            </w:pPr>
          </w:p>
        </w:tc>
        <w:tc>
          <w:tcPr>
            <w:tcW w:w="1075" w:type="dxa"/>
            <w:vAlign w:val="center"/>
          </w:tcPr>
          <w:p>
            <w:pPr>
              <w:jc w:val="center"/>
              <w:rPr>
                <w:rFonts w:hint="eastAsia" w:ascii="宋体" w:hAnsi="宋体" w:eastAsia="宋体" w:cs="宋体"/>
                <w:color w:val="auto"/>
                <w:sz w:val="24"/>
                <w:szCs w:val="24"/>
                <w:highlight w:val="none"/>
              </w:rPr>
            </w:pPr>
          </w:p>
        </w:tc>
        <w:tc>
          <w:tcPr>
            <w:tcW w:w="1079" w:type="dxa"/>
            <w:vAlign w:val="center"/>
          </w:tcPr>
          <w:p>
            <w:pPr>
              <w:jc w:val="center"/>
              <w:rPr>
                <w:rFonts w:hint="eastAsia" w:ascii="宋体" w:hAnsi="宋体" w:eastAsia="宋体" w:cs="宋体"/>
                <w:color w:val="auto"/>
                <w:sz w:val="24"/>
                <w:szCs w:val="24"/>
                <w:highlight w:val="none"/>
              </w:rPr>
            </w:pPr>
          </w:p>
        </w:tc>
        <w:tc>
          <w:tcPr>
            <w:tcW w:w="1718" w:type="dxa"/>
            <w:vAlign w:val="center"/>
          </w:tcPr>
          <w:p>
            <w:pPr>
              <w:jc w:val="center"/>
              <w:rPr>
                <w:rFonts w:hint="eastAsia" w:ascii="宋体" w:hAnsi="宋体" w:eastAsia="宋体" w:cs="宋体"/>
                <w:color w:val="auto"/>
                <w:sz w:val="24"/>
                <w:szCs w:val="24"/>
                <w:highlight w:val="none"/>
              </w:rPr>
            </w:pPr>
          </w:p>
        </w:tc>
        <w:tc>
          <w:tcPr>
            <w:tcW w:w="1096" w:type="dxa"/>
          </w:tcPr>
          <w:p>
            <w:pPr>
              <w:jc w:val="center"/>
              <w:rPr>
                <w:rFonts w:hint="eastAsia" w:ascii="宋体" w:hAnsi="宋体" w:eastAsia="宋体" w:cs="宋体"/>
                <w:color w:val="auto"/>
                <w:sz w:val="24"/>
                <w:szCs w:val="24"/>
                <w:highlight w:val="none"/>
              </w:rPr>
            </w:pPr>
          </w:p>
        </w:tc>
      </w:tr>
    </w:tbl>
    <w:p>
      <w:pPr>
        <w:spacing w:line="400" w:lineRule="exact"/>
        <w:rPr>
          <w:rFonts w:hint="eastAsia" w:ascii="宋体" w:hAnsi="宋体" w:eastAsia="宋体" w:cs="宋体"/>
          <w:color w:val="auto"/>
          <w:sz w:val="24"/>
          <w:szCs w:val="24"/>
          <w:highlight w:val="none"/>
        </w:rPr>
      </w:pP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 所报其他主要管理人员和技术人员须为实际到场人员，不得进行更换。</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 主要管理人员和技术人员应附资格证或上岗证、职称证、劳动合同、社保证明等。</w:t>
      </w:r>
    </w:p>
    <w:p>
      <w:pPr>
        <w:keepNext/>
        <w:keepLines/>
        <w:spacing w:line="600" w:lineRule="exact"/>
        <w:rPr>
          <w:rFonts w:hint="eastAsia" w:ascii="宋体" w:hAnsi="宋体" w:eastAsia="宋体" w:cs="宋体"/>
          <w:b/>
          <w:color w:val="auto"/>
          <w:sz w:val="28"/>
          <w:szCs w:val="28"/>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5"/>
        <w:spacing w:before="0" w:after="0" w:line="600" w:lineRule="exact"/>
        <w:jc w:val="center"/>
        <w:outlineLvl w:val="2"/>
        <w:rPr>
          <w:rFonts w:hint="eastAsia" w:ascii="宋体" w:hAnsi="宋体" w:eastAsia="宋体" w:cs="宋体"/>
          <w:bCs w:val="0"/>
          <w:color w:val="auto"/>
          <w:sz w:val="28"/>
          <w:szCs w:val="28"/>
          <w:highlight w:val="none"/>
        </w:rPr>
      </w:pPr>
      <w:r>
        <w:rPr>
          <w:rFonts w:hint="eastAsia" w:ascii="宋体" w:hAnsi="宋体" w:eastAsia="宋体" w:cs="宋体"/>
          <w:b w:val="0"/>
          <w:color w:val="auto"/>
          <w:sz w:val="24"/>
          <w:szCs w:val="24"/>
          <w:highlight w:val="none"/>
        </w:rPr>
        <w:br w:type="page"/>
      </w:r>
      <w:bookmarkStart w:id="162" w:name="_Toc17727"/>
      <w:bookmarkStart w:id="163" w:name="_Toc21326"/>
      <w:r>
        <w:rPr>
          <w:rFonts w:hint="eastAsia" w:ascii="宋体" w:hAnsi="宋体" w:eastAsia="宋体" w:cs="宋体"/>
          <w:bCs w:val="0"/>
          <w:color w:val="auto"/>
          <w:sz w:val="24"/>
          <w:szCs w:val="24"/>
          <w:highlight w:val="none"/>
        </w:rPr>
        <w:t>十二、投</w:t>
      </w:r>
      <w:r>
        <w:rPr>
          <w:rFonts w:hint="eastAsia" w:ascii="宋体" w:hAnsi="宋体" w:eastAsia="宋体" w:cs="宋体"/>
          <w:bCs w:val="0"/>
          <w:color w:val="auto"/>
          <w:sz w:val="28"/>
          <w:szCs w:val="28"/>
          <w:highlight w:val="none"/>
        </w:rPr>
        <w:t>标单位业绩</w:t>
      </w:r>
      <w:bookmarkEnd w:id="162"/>
      <w:bookmarkEnd w:id="163"/>
    </w:p>
    <w:p>
      <w:pPr>
        <w:rPr>
          <w:rFonts w:hint="eastAsia" w:ascii="宋体" w:hAnsi="宋体" w:eastAsia="宋体" w:cs="宋体"/>
          <w:color w:val="auto"/>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0"/>
        <w:gridCol w:w="7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0"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171"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0"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项目所在地</w:t>
            </w:r>
          </w:p>
        </w:tc>
        <w:tc>
          <w:tcPr>
            <w:tcW w:w="7171"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0"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发包人名称</w:t>
            </w:r>
          </w:p>
        </w:tc>
        <w:tc>
          <w:tcPr>
            <w:tcW w:w="7171"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0"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发包人地址</w:t>
            </w:r>
          </w:p>
        </w:tc>
        <w:tc>
          <w:tcPr>
            <w:tcW w:w="7171"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0"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发包人联系人及电话</w:t>
            </w:r>
          </w:p>
        </w:tc>
        <w:tc>
          <w:tcPr>
            <w:tcW w:w="7171"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0"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合同价格</w:t>
            </w:r>
          </w:p>
        </w:tc>
        <w:tc>
          <w:tcPr>
            <w:tcW w:w="7171"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0"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开工日期</w:t>
            </w:r>
          </w:p>
        </w:tc>
        <w:tc>
          <w:tcPr>
            <w:tcW w:w="7171"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0"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竣工日期</w:t>
            </w:r>
          </w:p>
        </w:tc>
        <w:tc>
          <w:tcPr>
            <w:tcW w:w="7171"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0"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承担的工作</w:t>
            </w:r>
          </w:p>
        </w:tc>
        <w:tc>
          <w:tcPr>
            <w:tcW w:w="7171"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0"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w:t>
            </w:r>
          </w:p>
        </w:tc>
        <w:tc>
          <w:tcPr>
            <w:tcW w:w="7171"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0"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w:t>
            </w:r>
          </w:p>
        </w:tc>
        <w:tc>
          <w:tcPr>
            <w:tcW w:w="7171"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0"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技术负责人</w:t>
            </w:r>
          </w:p>
        </w:tc>
        <w:tc>
          <w:tcPr>
            <w:tcW w:w="7171"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0"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总监理工程师及电话</w:t>
            </w:r>
          </w:p>
        </w:tc>
        <w:tc>
          <w:tcPr>
            <w:tcW w:w="7171"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0"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项目描述</w:t>
            </w:r>
          </w:p>
        </w:tc>
        <w:tc>
          <w:tcPr>
            <w:tcW w:w="7171"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0"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7171" w:type="dxa"/>
            <w:vAlign w:val="center"/>
          </w:tcPr>
          <w:p>
            <w:pPr>
              <w:ind w:firstLine="420" w:firstLineChars="200"/>
              <w:jc w:val="center"/>
              <w:rPr>
                <w:rFonts w:hint="eastAsia" w:ascii="宋体" w:hAnsi="宋体" w:eastAsia="宋体" w:cs="宋体"/>
                <w:color w:val="auto"/>
                <w:szCs w:val="21"/>
                <w:highlight w:val="none"/>
              </w:rPr>
            </w:pPr>
          </w:p>
        </w:tc>
      </w:tr>
    </w:tbl>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备注：1、</w:t>
      </w:r>
      <w:r>
        <w:rPr>
          <w:rFonts w:hint="eastAsia" w:ascii="宋体" w:hAnsi="宋体" w:eastAsia="宋体" w:cs="宋体"/>
          <w:bCs/>
          <w:color w:val="auto"/>
          <w:szCs w:val="21"/>
          <w:highlight w:val="none"/>
        </w:rPr>
        <w:t>业绩证明材料</w:t>
      </w:r>
      <w:r>
        <w:rPr>
          <w:rFonts w:hint="eastAsia" w:ascii="宋体" w:hAnsi="宋体" w:eastAsia="宋体" w:cs="宋体"/>
          <w:color w:val="auto"/>
          <w:szCs w:val="21"/>
          <w:highlight w:val="none"/>
        </w:rPr>
        <w:t>年份要求见投标人须知前附表。每张表格只填写一个项目，并标明序号。</w:t>
      </w:r>
    </w:p>
    <w:p>
      <w:pPr>
        <w:ind w:firstLine="630" w:firstLineChars="3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2、附合同复印件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分部或</w:t>
      </w:r>
      <w:r>
        <w:rPr>
          <w:rFonts w:hint="eastAsia" w:ascii="宋体" w:hAnsi="宋体" w:eastAsia="宋体" w:cs="宋体"/>
          <w:color w:val="auto"/>
          <w:szCs w:val="21"/>
          <w:highlight w:val="none"/>
        </w:rPr>
        <w:t>竣工验收证明复印件</w:t>
      </w:r>
    </w:p>
    <w:p>
      <w:pPr>
        <w:outlineLvl w:val="9"/>
        <w:rPr>
          <w:rFonts w:hint="eastAsia" w:ascii="宋体" w:hAnsi="宋体" w:eastAsia="宋体" w:cs="宋体"/>
          <w:color w:val="auto"/>
          <w:highlight w:val="none"/>
          <w:lang w:eastAsia="zh-CN"/>
        </w:rPr>
      </w:pPr>
    </w:p>
    <w:p>
      <w:pPr>
        <w:spacing w:line="480" w:lineRule="auto"/>
        <w:ind w:firstLine="240" w:firstLineChars="100"/>
        <w:rPr>
          <w:rFonts w:hint="eastAsia" w:ascii="宋体" w:hAnsi="宋体" w:eastAsia="宋体" w:cs="宋体"/>
          <w:color w:val="auto"/>
          <w:sz w:val="24"/>
          <w:szCs w:val="24"/>
          <w:highlight w:val="none"/>
        </w:rPr>
      </w:pP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pPr>
        <w:spacing w:line="400" w:lineRule="exact"/>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rPr>
        <w:t>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jc w:val="center"/>
        <w:rPr>
          <w:rFonts w:hint="eastAsia" w:ascii="宋体" w:hAnsi="宋体" w:eastAsia="宋体" w:cs="宋体"/>
          <w:color w:val="auto"/>
          <w:sz w:val="24"/>
          <w:szCs w:val="24"/>
          <w:highlight w:val="none"/>
        </w:rPr>
        <w:sectPr>
          <w:pgSz w:w="11905" w:h="16838"/>
          <w:pgMar w:top="1134" w:right="1134" w:bottom="1134" w:left="1134" w:header="850" w:footer="992" w:gutter="567"/>
          <w:pgBorders>
            <w:top w:val="none" w:sz="0" w:space="0"/>
            <w:left w:val="none" w:sz="0" w:space="0"/>
            <w:bottom w:val="none" w:sz="0" w:space="0"/>
            <w:right w:val="none" w:sz="0" w:space="0"/>
          </w:pgBorders>
          <w:pgNumType w:fmt="decimal"/>
          <w:cols w:space="720" w:num="1"/>
          <w:rtlGutter w:val="0"/>
          <w:docGrid w:type="lines" w:linePitch="317" w:charSpace="0"/>
        </w:sectPr>
      </w:pPr>
    </w:p>
    <w:p>
      <w:pPr>
        <w:pStyle w:val="5"/>
        <w:spacing w:before="0" w:after="0" w:line="600" w:lineRule="exact"/>
        <w:jc w:val="center"/>
        <w:outlineLvl w:val="2"/>
        <w:rPr>
          <w:rFonts w:hint="eastAsia" w:ascii="宋体" w:hAnsi="宋体" w:eastAsia="宋体" w:cs="宋体"/>
          <w:color w:val="auto"/>
          <w:sz w:val="18"/>
          <w:szCs w:val="18"/>
          <w:highlight w:val="none"/>
        </w:rPr>
      </w:pPr>
      <w:bookmarkStart w:id="164" w:name="_Toc7749"/>
      <w:bookmarkStart w:id="165" w:name="_Toc7185"/>
      <w:r>
        <w:rPr>
          <w:rFonts w:hint="eastAsia" w:ascii="宋体" w:hAnsi="宋体" w:eastAsia="宋体" w:cs="宋体"/>
          <w:bCs w:val="0"/>
          <w:color w:val="auto"/>
          <w:sz w:val="28"/>
          <w:szCs w:val="28"/>
          <w:highlight w:val="none"/>
        </w:rPr>
        <w:t>十三、承 诺 书</w:t>
      </w:r>
      <w:bookmarkEnd w:id="164"/>
      <w:bookmarkEnd w:id="165"/>
    </w:p>
    <w:p>
      <w:pPr>
        <w:spacing w:after="317" w:afterLines="100" w:line="440" w:lineRule="exact"/>
        <w:ind w:firstLine="420" w:firstLineChars="200"/>
        <w:rPr>
          <w:rFonts w:hint="eastAsia" w:ascii="宋体" w:hAnsi="宋体" w:eastAsia="宋体" w:cs="宋体"/>
          <w:color w:val="auto"/>
          <w:position w:val="-7"/>
          <w:szCs w:val="21"/>
          <w:highlight w:val="none"/>
        </w:rPr>
      </w:pPr>
      <w:r>
        <w:rPr>
          <w:rFonts w:hint="eastAsia" w:ascii="宋体" w:hAnsi="宋体" w:eastAsia="宋体" w:cs="宋体"/>
          <w:color w:val="auto"/>
          <w:position w:val="-7"/>
          <w:szCs w:val="21"/>
          <w:highlight w:val="none"/>
        </w:rPr>
        <w:t>致：</w:t>
      </w:r>
      <w:r>
        <w:rPr>
          <w:rFonts w:hint="eastAsia" w:ascii="宋体" w:hAnsi="宋体" w:eastAsia="宋体" w:cs="宋体"/>
          <w:color w:val="auto"/>
          <w:position w:val="-7"/>
          <w:szCs w:val="21"/>
          <w:highlight w:val="none"/>
          <w:u w:val="single"/>
        </w:rPr>
        <w:t xml:space="preserve">    云南建投第十建设有限公司绥江分公司 </w:t>
      </w:r>
    </w:p>
    <w:p>
      <w:pPr>
        <w:spacing w:after="317" w:afterLines="100"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我公司参加</w:t>
      </w:r>
      <w:r>
        <w:rPr>
          <w:rFonts w:hint="eastAsia" w:ascii="宋体" w:hAnsi="宋体" w:eastAsia="宋体" w:cs="宋体"/>
          <w:color w:val="auto"/>
          <w:szCs w:val="21"/>
          <w:highlight w:val="none"/>
          <w:u w:val="single"/>
        </w:rPr>
        <w:t xml:space="preserve">   绥江县保障性租赁住房建设项目防水工程</w:t>
      </w:r>
      <w:r>
        <w:rPr>
          <w:rFonts w:hint="eastAsia" w:ascii="宋体" w:hAnsi="宋体" w:cs="宋体"/>
          <w:color w:val="auto"/>
          <w:szCs w:val="21"/>
          <w:highlight w:val="none"/>
          <w:u w:val="single"/>
          <w:lang w:val="en-US" w:eastAsia="zh-CN"/>
        </w:rPr>
        <w:t>专业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包工程的竞标活动，完全响应招标书要求，若我公司中标，将按照招标书、你方管理要求等相关文件内容，遵守法律法规、严格履行相关责任，若有违法违规行为及未达到相关管理要求，愿意承担法律责任、管理责任，接受处置、处罚，经综合考虑特别做出以下重点事项承诺：</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报价承诺：（承诺提示：报价包含的工程、工作内容，因分包人原因致报价异意影响工程进度、结算办理等业务愿意承担的责任及处罚，因分包人原因致所承包工程内容另由第三方组织完成的，费用扣除办法及责任承担、处罚承诺等）</w:t>
      </w: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2、工期承诺：（承诺提示：不能按承诺或约定完成自愿承担的处罚、违约责任。以下第3条至第10条同。）</w:t>
      </w: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3、质量承诺：</w:t>
      </w: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4、安全、文明施工承诺：</w:t>
      </w: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5、工人岗位使用保证：</w:t>
      </w: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6、农民工实名制管理及工资保障承诺：</w:t>
      </w: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7、履约保证金及提交时间承诺：</w:t>
      </w: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8、服从招标单位的指挥、协调，与其他协作单位密切配合等承诺： </w:t>
      </w: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p>
    <w:p>
      <w:pPr>
        <w:spacing w:line="57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9、社会治安综合治理承诺：（承诺提示：结合招标文件第二</w:t>
      </w:r>
      <w:r>
        <w:rPr>
          <w:rFonts w:hint="eastAsia" w:ascii="宋体" w:hAnsi="宋体" w:eastAsia="宋体" w:cs="宋体"/>
          <w:color w:val="auto"/>
          <w:szCs w:val="21"/>
          <w:highlight w:val="none"/>
          <w:lang w:val="en-US" w:eastAsia="zh-CN"/>
        </w:rPr>
        <w:t>篇</w:t>
      </w:r>
      <w:r>
        <w:rPr>
          <w:rFonts w:hint="eastAsia" w:ascii="宋体" w:hAnsi="宋体" w:eastAsia="宋体" w:cs="宋体"/>
          <w:color w:val="auto"/>
          <w:szCs w:val="21"/>
          <w:highlight w:val="none"/>
          <w:lang w:eastAsia="zh-CN"/>
        </w:rPr>
        <w:t>“管理要求</w:t>
      </w:r>
      <w:r>
        <w:rPr>
          <w:rFonts w:hint="eastAsia" w:ascii="宋体" w:hAnsi="宋体" w:eastAsia="宋体" w:cs="宋体"/>
          <w:color w:val="auto"/>
          <w:szCs w:val="21"/>
          <w:highlight w:val="none"/>
          <w:lang w:val="en-US" w:eastAsia="zh-CN"/>
        </w:rPr>
        <w:t>---信访维稳安全保卫管理要求</w:t>
      </w:r>
      <w:r>
        <w:rPr>
          <w:rFonts w:hint="eastAsia" w:ascii="宋体" w:hAnsi="宋体" w:eastAsia="宋体" w:cs="宋体"/>
          <w:color w:val="auto"/>
          <w:szCs w:val="21"/>
          <w:highlight w:val="none"/>
          <w:lang w:eastAsia="zh-CN"/>
        </w:rPr>
        <w:t>及“合同附件</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社会治安综合治理责任书”进行承诺）。</w:t>
      </w: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10、工程量结算真实性承诺：</w:t>
      </w: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p>
    <w:p>
      <w:pPr>
        <w:spacing w:line="57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11、其他承诺：（承诺提示：分包人非法转包所承包工程、分包人及其工作人员有违反工程廉洁要求等违法违纪行为，应承担的法律责任及处罚等）。</w:t>
      </w:r>
    </w:p>
    <w:p>
      <w:pPr>
        <w:spacing w:line="57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 xml:space="preserve">                                    </w:t>
      </w:r>
      <w:r>
        <w:rPr>
          <w:rFonts w:hint="eastAsia" w:ascii="宋体" w:hAnsi="宋体" w:eastAsia="宋体" w:cs="宋体"/>
          <w:color w:val="auto"/>
          <w:szCs w:val="21"/>
          <w:highlight w:val="none"/>
        </w:rPr>
        <w:t xml:space="preserve">   </w:t>
      </w:r>
    </w:p>
    <w:p>
      <w:pPr>
        <w:spacing w:line="440" w:lineRule="exact"/>
        <w:ind w:firstLine="4200" w:firstLineChars="2000"/>
        <w:rPr>
          <w:rFonts w:hint="eastAsia" w:ascii="宋体" w:hAnsi="宋体" w:eastAsia="宋体" w:cs="宋体"/>
          <w:color w:val="auto"/>
          <w:szCs w:val="21"/>
          <w:highlight w:val="none"/>
        </w:rPr>
      </w:pPr>
    </w:p>
    <w:p>
      <w:pPr>
        <w:spacing w:line="440" w:lineRule="exact"/>
        <w:ind w:firstLine="4200" w:firstLineChars="2000"/>
        <w:rPr>
          <w:rFonts w:hint="eastAsia" w:ascii="宋体" w:hAnsi="宋体" w:eastAsia="宋体" w:cs="宋体"/>
          <w:color w:val="auto"/>
          <w:szCs w:val="21"/>
          <w:highlight w:val="none"/>
        </w:rPr>
      </w:pPr>
    </w:p>
    <w:p>
      <w:pPr>
        <w:spacing w:line="440" w:lineRule="exact"/>
        <w:ind w:firstLine="4200" w:firstLineChars="2000"/>
        <w:rPr>
          <w:rFonts w:hint="eastAsia" w:ascii="宋体" w:hAnsi="宋体" w:eastAsia="宋体" w:cs="宋体"/>
          <w:color w:val="auto"/>
          <w:szCs w:val="21"/>
          <w:highlight w:val="none"/>
        </w:rPr>
      </w:pPr>
    </w:p>
    <w:p>
      <w:pPr>
        <w:spacing w:line="440" w:lineRule="exact"/>
        <w:ind w:firstLine="4200" w:firstLineChars="2000"/>
        <w:rPr>
          <w:rFonts w:hint="eastAsia" w:ascii="宋体" w:hAnsi="宋体" w:eastAsia="宋体" w:cs="宋体"/>
          <w:color w:val="auto"/>
          <w:szCs w:val="21"/>
          <w:highlight w:val="none"/>
        </w:rPr>
      </w:pPr>
    </w:p>
    <w:p>
      <w:pPr>
        <w:spacing w:line="440" w:lineRule="exact"/>
        <w:ind w:firstLine="4200" w:firstLineChars="2000"/>
        <w:rPr>
          <w:rFonts w:hint="eastAsia" w:ascii="宋体" w:hAnsi="宋体" w:eastAsia="宋体" w:cs="宋体"/>
          <w:color w:val="auto"/>
          <w:szCs w:val="21"/>
          <w:highlight w:val="none"/>
        </w:rPr>
      </w:pPr>
    </w:p>
    <w:p>
      <w:pPr>
        <w:spacing w:line="440" w:lineRule="exact"/>
        <w:ind w:firstLine="4200" w:firstLineChars="2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pPr>
        <w:spacing w:line="440" w:lineRule="exact"/>
        <w:ind w:firstLine="420" w:firstLineChars="200"/>
        <w:jc w:val="right"/>
        <w:rPr>
          <w:rFonts w:hint="eastAsia" w:ascii="宋体" w:hAnsi="宋体" w:eastAsia="宋体" w:cs="宋体"/>
          <w:color w:val="auto"/>
          <w:szCs w:val="21"/>
          <w:highlight w:val="none"/>
        </w:rPr>
      </w:pPr>
    </w:p>
    <w:p>
      <w:pPr>
        <w:spacing w:line="440" w:lineRule="exact"/>
        <w:ind w:firstLine="420" w:firstLineChars="200"/>
        <w:jc w:val="right"/>
        <w:rPr>
          <w:rFonts w:hint="eastAsia" w:ascii="宋体" w:hAnsi="宋体" w:eastAsia="宋体" w:cs="宋体"/>
          <w:color w:val="auto"/>
          <w:szCs w:val="21"/>
          <w:highlight w:val="none"/>
        </w:rPr>
      </w:pPr>
    </w:p>
    <w:p>
      <w:pPr>
        <w:spacing w:line="440" w:lineRule="exact"/>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pPr>
        <w:spacing w:line="440" w:lineRule="exact"/>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pPr>
        <w:spacing w:line="440" w:lineRule="exact"/>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bCs w:val="0"/>
          <w:color w:val="auto"/>
          <w:sz w:val="28"/>
          <w:szCs w:val="28"/>
          <w:highlight w:val="none"/>
          <w:lang w:val="en-US" w:eastAsia="zh-CN"/>
        </w:rPr>
      </w:pPr>
      <w:bookmarkStart w:id="166" w:name="_Toc26532"/>
      <w:bookmarkStart w:id="167" w:name="_Toc19472"/>
      <w:r>
        <w:rPr>
          <w:rFonts w:hint="eastAsia" w:ascii="宋体" w:hAnsi="宋体" w:eastAsia="宋体" w:cs="宋体"/>
          <w:bCs w:val="0"/>
          <w:color w:val="auto"/>
          <w:sz w:val="28"/>
          <w:szCs w:val="28"/>
          <w:highlight w:val="none"/>
          <w:lang w:val="en-US" w:eastAsia="zh-CN"/>
        </w:rPr>
        <w:br w:type="page"/>
      </w:r>
    </w:p>
    <w:p>
      <w:pPr>
        <w:pStyle w:val="5"/>
        <w:spacing w:before="0" w:after="0" w:line="600" w:lineRule="exact"/>
        <w:ind w:left="-420" w:leftChars="-200" w:firstLine="0" w:firstLineChars="0"/>
        <w:jc w:val="both"/>
        <w:outlineLvl w:val="2"/>
        <w:rPr>
          <w:rFonts w:hint="eastAsia"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lang w:val="en-US" w:eastAsia="zh-CN"/>
        </w:rPr>
        <w:t>十四、</w:t>
      </w:r>
      <w:r>
        <w:rPr>
          <w:rFonts w:hint="eastAsia" w:ascii="宋体" w:hAnsi="宋体" w:eastAsia="宋体" w:cs="宋体"/>
          <w:bCs w:val="0"/>
          <w:color w:val="auto"/>
          <w:sz w:val="28"/>
          <w:szCs w:val="28"/>
          <w:highlight w:val="none"/>
        </w:rPr>
        <w:t>关于严禁采取停工、围堵等恶劣方式解决合同纠纷的承诺函</w:t>
      </w:r>
      <w:bookmarkEnd w:id="166"/>
      <w:bookmarkEnd w:id="167"/>
    </w:p>
    <w:p>
      <w:pPr>
        <w:spacing w:line="360" w:lineRule="auto"/>
        <w:ind w:left="-199" w:leftChars="-95" w:right="-92" w:rightChars="-44" w:firstLine="144" w:firstLineChars="45"/>
        <w:rPr>
          <w:rFonts w:hint="eastAsia" w:ascii="宋体" w:hAnsi="宋体" w:eastAsia="宋体" w:cs="宋体"/>
          <w:color w:val="auto"/>
          <w:sz w:val="32"/>
          <w:szCs w:val="32"/>
          <w:highlight w:val="none"/>
          <w:u w:val="single"/>
        </w:rPr>
      </w:pPr>
    </w:p>
    <w:p>
      <w:pPr>
        <w:spacing w:line="360" w:lineRule="auto"/>
        <w:ind w:left="-199" w:leftChars="-95" w:right="-92" w:rightChars="-44" w:firstLine="94" w:firstLineChars="4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云南建投第十建设有限公司绥江分公司</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我方已仔细研究了</w:t>
      </w:r>
      <w:r>
        <w:rPr>
          <w:rFonts w:hint="eastAsia" w:ascii="宋体" w:hAnsi="宋体" w:eastAsia="宋体" w:cs="宋体"/>
          <w:color w:val="auto"/>
          <w:sz w:val="21"/>
          <w:szCs w:val="21"/>
          <w:highlight w:val="none"/>
          <w:u w:val="single"/>
        </w:rPr>
        <w:t xml:space="preserve">       绥江县保障性租赁住房建设项目防水工程   </w:t>
      </w:r>
      <w:r>
        <w:rPr>
          <w:rFonts w:hint="eastAsia" w:ascii="宋体" w:hAnsi="宋体" w:eastAsia="宋体" w:cs="宋体"/>
          <w:color w:val="auto"/>
          <w:sz w:val="21"/>
          <w:szCs w:val="21"/>
          <w:highlight w:val="none"/>
        </w:rPr>
        <w:t>专业分包招标文件的全部内容，在熟知合同条款及所有要求后，愿意遵守本承诺函中全部事项，按分包合同约定保质保量保工期实施和完成承包工程。</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一、如我方中标：</w:t>
      </w:r>
    </w:p>
    <w:p>
      <w:pPr>
        <w:numPr>
          <w:ilvl w:val="0"/>
          <w:numId w:val="9"/>
        </w:numPr>
        <w:spacing w:line="360" w:lineRule="auto"/>
        <w:ind w:lef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我方承诺不将中标的工程内容转包或违法分包给第三方。若发生上述情况，招标人可单方面解除合同。我方承担由此带来的一切损失。</w:t>
      </w:r>
    </w:p>
    <w:p>
      <w:pPr>
        <w:numPr>
          <w:ilvl w:val="0"/>
          <w:numId w:val="9"/>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我方承诺坚决服从项目部的指挥和安排，在分包合同约定的期限内完成并移交全部合同工程，保证不发生停工及消极怠工等行为。</w:t>
      </w:r>
    </w:p>
    <w:p>
      <w:pPr>
        <w:numPr>
          <w:ilvl w:val="0"/>
          <w:numId w:val="9"/>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若履行合同发生争议，通过协商方式解决，保证不发生扰乱政府机构、云南建投集团及下属单位、项目部正常生产经营和办公生活秩序的行为及有损云南建投集团及下属单位社会形象（含不当舆论）的行为，包括不限于围堵（堵门、堵路）、冲击、强占办公场所和生产（施工）场所；拦截车辆、堵塞或阻断交通；侮辱、殴打工作人员或非法限制他人自由；不在非接待场所静坐、长时间滞留、不将生活不能自理的人员弃留在接待场所或拉挂标语、横幅等情况。</w:t>
      </w:r>
    </w:p>
    <w:p>
      <w:pPr>
        <w:numPr>
          <w:ilvl w:val="0"/>
          <w:numId w:val="9"/>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若发生上述（二）、（三）情况，每发生一次我方自愿接受招标人10-50万元违约处罚，具体金额根据前述行为的严重性由招标人决定，我方无条件接受。</w:t>
      </w:r>
    </w:p>
    <w:p>
      <w:pPr>
        <w:numPr>
          <w:ilvl w:val="0"/>
          <w:numId w:val="9"/>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我方擅自停工超过10天，招标人有权单方解除合同，我方自愿承担合同金额10%的违约金，并赔偿由此给招标人造成的一切损失。同时我方接受招标人“先退场，后清算”的管理要求，退场清算原则遵从：</w:t>
      </w:r>
    </w:p>
    <w:p>
      <w:pPr>
        <w:pStyle w:val="23"/>
        <w:numPr>
          <w:ilvl w:val="0"/>
          <w:numId w:val="10"/>
        </w:numPr>
        <w:spacing w:after="0" w:line="360" w:lineRule="auto"/>
        <w:ind w:left="0" w:leftChars="0"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履约完成现阶段工作面所有工作内容，形成验收合格的完整工序，符合检验批的验收，验收合格的实体工程按合同约定结算；</w:t>
      </w:r>
    </w:p>
    <w:p>
      <w:pPr>
        <w:pStyle w:val="23"/>
        <w:numPr>
          <w:ilvl w:val="0"/>
          <w:numId w:val="10"/>
        </w:numPr>
        <w:spacing w:after="0" w:line="360" w:lineRule="auto"/>
        <w:ind w:left="0" w:leftChars="0"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未履约形成完整工序的工作面参照合同据实结算；</w:t>
      </w:r>
    </w:p>
    <w:p>
      <w:pPr>
        <w:pStyle w:val="23"/>
        <w:numPr>
          <w:ilvl w:val="0"/>
          <w:numId w:val="10"/>
        </w:numPr>
        <w:spacing w:after="0" w:line="360" w:lineRule="auto"/>
        <w:ind w:left="0" w:leftChars="0" w:firstLine="64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合同中未约定的合理诉求项双方协商确定合理价格，</w:t>
      </w:r>
      <w:r>
        <w:rPr>
          <w:rFonts w:hint="eastAsia" w:ascii="宋体" w:hAnsi="宋体" w:eastAsia="宋体" w:cs="宋体"/>
          <w:color w:val="auto"/>
          <w:sz w:val="21"/>
          <w:szCs w:val="21"/>
          <w:highlight w:val="none"/>
        </w:rPr>
        <w:t>但不得超过现行市场价*（投标价/招标控制价）结算；</w:t>
      </w:r>
    </w:p>
    <w:p>
      <w:pPr>
        <w:pStyle w:val="23"/>
        <w:numPr>
          <w:ilvl w:val="0"/>
          <w:numId w:val="10"/>
        </w:numPr>
        <w:spacing w:after="0" w:line="360" w:lineRule="auto"/>
        <w:ind w:left="0" w:leftChars="0"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最终清算价格需扣除由我方原因造成招标人的一切损失。</w:t>
      </w:r>
    </w:p>
    <w:p>
      <w:pPr>
        <w:pStyle w:val="23"/>
        <w:numPr>
          <w:ilvl w:val="0"/>
          <w:numId w:val="10"/>
        </w:numPr>
        <w:spacing w:after="0" w:line="360" w:lineRule="auto"/>
        <w:ind w:left="0" w:leftChars="0"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保证不出现“低价中标，高价索赔出场”的现象。</w:t>
      </w:r>
    </w:p>
    <w:p>
      <w:pPr>
        <w:pStyle w:val="23"/>
        <w:spacing w:after="0" w:line="360" w:lineRule="auto"/>
        <w:ind w:left="0" w:leftChars="0"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（六）我方承诺当收到招标人的退场通知后7个日历天内撤离现场，并积极配合招标人在30个日历天内完成合同结算。</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二、本承诺函作为双方合同组成部分，对我方具有与合同同等法律效力。</w:t>
      </w:r>
    </w:p>
    <w:p>
      <w:pPr>
        <w:spacing w:line="360" w:lineRule="auto"/>
        <w:ind w:firstLine="420" w:firstLineChars="200"/>
        <w:rPr>
          <w:rFonts w:hint="eastAsia" w:ascii="宋体" w:hAnsi="宋体" w:eastAsia="宋体" w:cs="宋体"/>
          <w:color w:val="auto"/>
          <w:sz w:val="21"/>
          <w:szCs w:val="21"/>
          <w:highlight w:val="none"/>
        </w:rPr>
      </w:pPr>
    </w:p>
    <w:p>
      <w:pPr>
        <w:spacing w:line="440" w:lineRule="exact"/>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pPr>
        <w:spacing w:line="440" w:lineRule="exact"/>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pPr>
        <w:spacing w:line="440" w:lineRule="exact"/>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rPr>
          <w:rFonts w:hint="eastAsia" w:ascii="宋体" w:hAnsi="宋体" w:eastAsia="宋体" w:cs="宋体"/>
          <w:color w:val="auto"/>
          <w:highlight w:val="none"/>
        </w:rPr>
      </w:pPr>
      <w:r>
        <w:rPr>
          <w:rFonts w:hint="eastAsia" w:ascii="宋体" w:hAnsi="宋体" w:eastAsia="宋体" w:cs="宋体"/>
          <w:color w:val="auto"/>
          <w:szCs w:val="21"/>
          <w:highlight w:val="none"/>
        </w:rPr>
        <w:br w:type="page"/>
      </w:r>
    </w:p>
    <w:p>
      <w:pPr>
        <w:pStyle w:val="5"/>
        <w:spacing w:before="0" w:after="0" w:line="600" w:lineRule="exact"/>
        <w:jc w:val="center"/>
        <w:outlineLvl w:val="2"/>
        <w:rPr>
          <w:rFonts w:hint="eastAsia" w:ascii="宋体" w:hAnsi="宋体" w:eastAsia="宋体" w:cs="宋体"/>
          <w:bCs w:val="0"/>
          <w:color w:val="auto"/>
          <w:sz w:val="21"/>
          <w:szCs w:val="21"/>
          <w:highlight w:val="none"/>
          <w:lang w:val="en-US" w:eastAsia="zh-CN"/>
        </w:rPr>
      </w:pPr>
      <w:bookmarkStart w:id="168" w:name="_Toc672"/>
      <w:bookmarkStart w:id="169" w:name="_Toc16280"/>
      <w:r>
        <w:rPr>
          <w:rFonts w:hint="eastAsia" w:ascii="宋体" w:hAnsi="宋体" w:eastAsia="宋体" w:cs="宋体"/>
          <w:bCs w:val="0"/>
          <w:color w:val="auto"/>
          <w:sz w:val="28"/>
          <w:szCs w:val="28"/>
          <w:highlight w:val="none"/>
          <w:lang w:val="en-US" w:eastAsia="zh-CN"/>
        </w:rPr>
        <w:t>十五、关于农民工实名制管理的承诺函</w:t>
      </w:r>
      <w:bookmarkEnd w:id="168"/>
    </w:p>
    <w:p>
      <w:pPr>
        <w:pStyle w:val="21"/>
        <w:widowControl/>
        <w:spacing w:beforeAutospacing="0" w:after="240" w:afterAutospacing="0" w:line="560" w:lineRule="exact"/>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u w:val="single"/>
        </w:rPr>
        <w:t xml:space="preserve"> 云南建投第十建设有限公司绥江分公司</w:t>
      </w:r>
      <w:r>
        <w:rPr>
          <w:rFonts w:hint="eastAsia" w:ascii="宋体" w:hAnsi="宋体" w:eastAsia="宋体" w:cs="宋体"/>
          <w:color w:val="auto"/>
          <w:sz w:val="21"/>
          <w:szCs w:val="21"/>
          <w:highlight w:val="none"/>
        </w:rPr>
        <w:t>：</w:t>
      </w:r>
    </w:p>
    <w:p>
      <w:pPr>
        <w:spacing w:line="56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我方已仔细研究了</w:t>
      </w:r>
      <w:r>
        <w:rPr>
          <w:rFonts w:hint="eastAsia" w:ascii="宋体" w:hAnsi="宋体" w:eastAsia="宋体" w:cs="宋体"/>
          <w:color w:val="auto"/>
          <w:sz w:val="21"/>
          <w:szCs w:val="21"/>
          <w:highlight w:val="none"/>
          <w:u w:val="single"/>
        </w:rPr>
        <w:t xml:space="preserve">   绥江县保障性租赁住房建设项目防水工程      </w:t>
      </w:r>
      <w:r>
        <w:rPr>
          <w:rFonts w:hint="eastAsia" w:ascii="宋体" w:hAnsi="宋体" w:eastAsia="宋体" w:cs="宋体"/>
          <w:color w:val="auto"/>
          <w:sz w:val="21"/>
          <w:szCs w:val="21"/>
          <w:highlight w:val="none"/>
        </w:rPr>
        <w:t>专业分包招标文件的全部内容，在熟知合同条款及所有要求后，愿意遵守本承诺函中全部事项，按分包合同约定保质保量保工期实施和完成承包工程，按如下要求做好农民工实名制管理及农民工工资发放工作：</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1.我方对所招用农民工的实名制管理和工资支付负直接责任。严格按《保障农民工工资支付条例》规定做好农民工实名制及工资支付管理。</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2.我方确保依法与所招用的农民工签订书面劳动合同并进行用工实名登记，劳动合同相关条款及手续符合法律法规的相关规定</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劳动合同中严格约定日工资标准，临时用工按规定签订临时用工协议并</w:t>
      </w:r>
      <w:r>
        <w:rPr>
          <w:rFonts w:hint="eastAsia" w:ascii="宋体" w:hAnsi="宋体" w:eastAsia="宋体" w:cs="宋体"/>
          <w:color w:val="auto"/>
          <w:sz w:val="21"/>
          <w:szCs w:val="21"/>
          <w:highlight w:val="none"/>
        </w:rPr>
        <w:t>进行用工实名登记</w:t>
      </w:r>
      <w:r>
        <w:rPr>
          <w:rFonts w:hint="eastAsia" w:ascii="宋体" w:hAnsi="宋体" w:cs="宋体"/>
          <w:color w:val="auto"/>
          <w:sz w:val="21"/>
          <w:szCs w:val="21"/>
          <w:highlight w:val="none"/>
          <w:lang w:val="en-US" w:eastAsia="zh-CN"/>
        </w:rPr>
        <w:t>（工作期限3天内为临时用工）</w:t>
      </w:r>
      <w:r>
        <w:rPr>
          <w:rFonts w:hint="eastAsia" w:ascii="宋体" w:hAnsi="宋体" w:eastAsia="宋体" w:cs="宋体"/>
          <w:color w:val="auto"/>
          <w:sz w:val="21"/>
          <w:szCs w:val="21"/>
          <w:highlight w:val="none"/>
        </w:rPr>
        <w:t>。未与我方</w:t>
      </w:r>
      <w:r>
        <w:rPr>
          <w:rFonts w:hint="eastAsia" w:ascii="宋体" w:hAnsi="宋体" w:eastAsia="宋体" w:cs="宋体"/>
          <w:color w:val="auto"/>
          <w:sz w:val="21"/>
          <w:szCs w:val="21"/>
          <w:highlight w:val="none"/>
          <w:lang w:val="en-US" w:eastAsia="zh-CN"/>
        </w:rPr>
        <w:t>签</w:t>
      </w:r>
      <w:r>
        <w:rPr>
          <w:rFonts w:hint="eastAsia" w:ascii="宋体" w:hAnsi="宋体" w:eastAsia="宋体" w:cs="宋体"/>
          <w:color w:val="auto"/>
          <w:sz w:val="21"/>
          <w:szCs w:val="21"/>
          <w:highlight w:val="none"/>
        </w:rPr>
        <w:t>定劳动合同</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临时用工协议</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并进行用工实名登记的人员，不得进入项目现场施工，若违反，由我方承担造成的一切经济法律责任。</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无条件配合总包单位开设农民工工资专用账户，为所招用农民工办理好指定银行的工资卡，并委托总承包单位代发农民工工资，同时保证及时将工资卡发放至农民工本人手中，不以任何理由扣押或变相扣押。</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4.我方严格做好工人进场前的入场登记并配合做好农民工入场前的安全教育工作，确保无一遗漏。</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5.我方派专人负责农民工上、下班的考勤打卡，做到“有进有出”，</w:t>
      </w:r>
      <w:r>
        <w:rPr>
          <w:rFonts w:hint="eastAsia" w:ascii="宋体" w:hAnsi="宋体" w:cs="宋体"/>
          <w:color w:val="auto"/>
          <w:sz w:val="21"/>
          <w:szCs w:val="21"/>
          <w:highlight w:val="none"/>
          <w:lang w:val="en-US" w:eastAsia="zh-CN"/>
        </w:rPr>
        <w:t>实名制系统考勤为唯一考勤依据，</w:t>
      </w:r>
      <w:r>
        <w:rPr>
          <w:rFonts w:hint="eastAsia" w:ascii="宋体" w:hAnsi="宋体" w:eastAsia="宋体" w:cs="宋体"/>
          <w:color w:val="auto"/>
          <w:sz w:val="21"/>
          <w:szCs w:val="21"/>
          <w:highlight w:val="none"/>
        </w:rPr>
        <w:t>出现未严格执行</w:t>
      </w:r>
      <w:r>
        <w:rPr>
          <w:rFonts w:hint="eastAsia" w:ascii="宋体" w:hAnsi="宋体" w:cs="宋体"/>
          <w:color w:val="auto"/>
          <w:sz w:val="21"/>
          <w:szCs w:val="21"/>
          <w:highlight w:val="none"/>
          <w:lang w:val="en-US" w:eastAsia="zh-CN"/>
        </w:rPr>
        <w:t>系统</w:t>
      </w:r>
      <w:r>
        <w:rPr>
          <w:rFonts w:hint="eastAsia" w:ascii="宋体" w:hAnsi="宋体" w:eastAsia="宋体" w:cs="宋体"/>
          <w:color w:val="auto"/>
          <w:sz w:val="21"/>
          <w:szCs w:val="21"/>
          <w:highlight w:val="none"/>
        </w:rPr>
        <w:t>考勤的工人及时清退出场，并承担由此造成的所有经济法律责任。</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6.我方确保农民工工资表如实按月编制，投标价（合同价）已考虑我方须代扣代缴的一切费用（包括但不限于农民工个人所得税、保险费等），</w:t>
      </w:r>
      <w:r>
        <w:rPr>
          <w:rFonts w:hint="eastAsia" w:ascii="宋体" w:hAnsi="宋体" w:cs="宋体"/>
          <w:color w:val="auto"/>
          <w:sz w:val="21"/>
          <w:szCs w:val="21"/>
          <w:highlight w:val="none"/>
          <w:lang w:val="en-US" w:eastAsia="zh-CN"/>
        </w:rPr>
        <w:t>同时将相关资料交招标人备案，并</w:t>
      </w:r>
      <w:r>
        <w:rPr>
          <w:rFonts w:hint="eastAsia" w:ascii="宋体" w:hAnsi="宋体" w:eastAsia="宋体" w:cs="宋体"/>
          <w:color w:val="auto"/>
          <w:sz w:val="21"/>
          <w:szCs w:val="21"/>
          <w:highlight w:val="none"/>
        </w:rPr>
        <w:t>对工资表的真实性负责。</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7.我方确保工资表人员信息与实名制系统中的考勤信息一致，</w:t>
      </w:r>
      <w:r>
        <w:rPr>
          <w:rFonts w:hint="eastAsia" w:ascii="宋体" w:hAnsi="宋体" w:cs="宋体"/>
          <w:color w:val="auto"/>
          <w:sz w:val="21"/>
          <w:szCs w:val="21"/>
          <w:highlight w:val="none"/>
          <w:lang w:val="en-US" w:eastAsia="zh-CN"/>
        </w:rPr>
        <w:t>严格</w:t>
      </w:r>
      <w:r>
        <w:rPr>
          <w:rFonts w:hint="eastAsia" w:ascii="宋体" w:hAnsi="宋体" w:eastAsia="宋体" w:cs="宋体"/>
          <w:color w:val="auto"/>
          <w:sz w:val="21"/>
          <w:szCs w:val="21"/>
          <w:highlight w:val="none"/>
        </w:rPr>
        <w:t>根据实名制系统考勤</w:t>
      </w:r>
      <w:r>
        <w:rPr>
          <w:rFonts w:hint="eastAsia" w:ascii="宋体" w:hAnsi="宋体" w:cs="宋体"/>
          <w:color w:val="auto"/>
          <w:sz w:val="21"/>
          <w:szCs w:val="21"/>
          <w:highlight w:val="none"/>
          <w:lang w:val="en-US" w:eastAsia="zh-CN"/>
        </w:rPr>
        <w:t>及合同中约定的日工资</w:t>
      </w:r>
      <w:r>
        <w:rPr>
          <w:rFonts w:hint="eastAsia" w:ascii="宋体" w:hAnsi="宋体" w:eastAsia="宋体" w:cs="宋体"/>
          <w:color w:val="auto"/>
          <w:sz w:val="21"/>
          <w:szCs w:val="21"/>
          <w:highlight w:val="none"/>
        </w:rPr>
        <w:t>编制工资支付表，</w:t>
      </w:r>
      <w:r>
        <w:rPr>
          <w:rFonts w:hint="eastAsia" w:ascii="宋体" w:hAnsi="宋体" w:cs="宋体"/>
          <w:color w:val="auto"/>
          <w:sz w:val="21"/>
          <w:szCs w:val="21"/>
          <w:highlight w:val="none"/>
          <w:lang w:val="en-US" w:eastAsia="zh-CN"/>
        </w:rPr>
        <w:t>系统考勤与劳动合同（临时用工协议）为工资发放依据，二者缺一不可，工资表、考勤表</w:t>
      </w:r>
      <w:r>
        <w:rPr>
          <w:rFonts w:hint="eastAsia" w:ascii="宋体" w:hAnsi="宋体" w:eastAsia="宋体" w:cs="宋体"/>
          <w:color w:val="auto"/>
          <w:sz w:val="21"/>
          <w:szCs w:val="21"/>
          <w:highlight w:val="none"/>
        </w:rPr>
        <w:t>经农民工本人签字确认后，与当月工程进度等情况一并交施工总承包单位进行农民工工资代发。</w:t>
      </w:r>
    </w:p>
    <w:p>
      <w:pPr>
        <w:spacing w:line="560" w:lineRule="exact"/>
        <w:ind w:firstLine="420" w:firstLineChars="200"/>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r>
        <w:rPr>
          <w:rFonts w:hint="eastAsia" w:ascii="宋体" w:hAnsi="宋体" w:cs="宋体"/>
          <w:color w:val="auto"/>
          <w:sz w:val="21"/>
          <w:szCs w:val="21"/>
          <w:highlight w:val="none"/>
          <w:lang w:val="en-US" w:eastAsia="zh-CN"/>
        </w:rPr>
        <w:t>.我方承</w:t>
      </w:r>
      <w:r>
        <w:rPr>
          <w:rFonts w:hint="default" w:ascii="宋体" w:hAnsi="宋体" w:cs="宋体"/>
          <w:color w:val="auto"/>
          <w:sz w:val="21"/>
          <w:szCs w:val="21"/>
          <w:highlight w:val="none"/>
          <w:lang w:val="en-US" w:eastAsia="zh-CN"/>
        </w:rPr>
        <w:t>诺严格按</w:t>
      </w:r>
      <w:r>
        <w:rPr>
          <w:rFonts w:hint="eastAsia" w:ascii="宋体" w:hAnsi="宋体" w:cs="宋体"/>
          <w:color w:val="auto"/>
          <w:sz w:val="21"/>
          <w:szCs w:val="21"/>
          <w:highlight w:val="none"/>
          <w:lang w:val="en-US" w:eastAsia="zh-CN"/>
        </w:rPr>
        <w:t>贵司合同分账管理</w:t>
      </w:r>
      <w:r>
        <w:rPr>
          <w:rFonts w:hint="default" w:ascii="宋体" w:hAnsi="宋体" w:cs="宋体"/>
          <w:color w:val="auto"/>
          <w:sz w:val="21"/>
          <w:szCs w:val="21"/>
          <w:highlight w:val="none"/>
          <w:lang w:val="en-US" w:eastAsia="zh-CN"/>
        </w:rPr>
        <w:t>及相关</w:t>
      </w:r>
      <w:r>
        <w:rPr>
          <w:rFonts w:hint="eastAsia" w:ascii="宋体" w:hAnsi="宋体" w:cs="宋体"/>
          <w:color w:val="auto"/>
          <w:sz w:val="21"/>
          <w:szCs w:val="21"/>
          <w:highlight w:val="none"/>
          <w:lang w:val="en-US" w:eastAsia="zh-CN"/>
        </w:rPr>
        <w:t>要求，人工费款项按分账占比全额拨付至专户，项目实施过程中不支付到我公司账户，若人工费款项不够支付农民工工资时，我方承诺贵司优先从非人工费款项中代扣代付。</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.我方确保配合总承包单位及时做好农民工退场工作，办理好退场手续，签订《农民工退场确认表》。</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我方承诺因上述任何一条情况发生，导致农民工工资不能正常发放，造成的一切后果由我方承担，保证不发生停工、扰乱政府机构、招标人及下属单位、项目部正常生产经营和办公生活秩序的行为及有损招标人社会形象（含不当舆论）的行为，包括不限于围堵（堵门、堵路）、冲击、强占办公场所和生产（施工）场所；拦截车辆、堵塞或阻断交通；侮辱、殴打工作人员或非法限制他人自由；不在非接待场所静坐、长时间滞留、不将生活不能自理的人员弃留在接待场所或拉挂标语、横幅等情况。</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若发生上述任何一条情况，每发生一次我方自愿接受招标人2-10万元违约处罚，具体金额根据前述行为的严重性由招标人决定，我方无条件接受。同时前述行为造成严重影响的（包括但不限于我方擅自停工超过3天），招标人有权单方解除合同，我方自愿承担合同金额10%的违约金，并赔偿由此给招标人造成的一切损失，接受招标人“先退场，后清算”的管理要求。</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.本承诺函作为双方合同组成部分，对我方具有与合同同等法律效力。</w:t>
      </w:r>
    </w:p>
    <w:p>
      <w:pPr>
        <w:outlineLvl w:val="9"/>
        <w:rPr>
          <w:rFonts w:hint="eastAsia" w:ascii="宋体" w:hAnsi="宋体" w:eastAsia="宋体" w:cs="宋体"/>
          <w:color w:val="auto"/>
          <w:highlight w:val="none"/>
        </w:rPr>
      </w:pPr>
    </w:p>
    <w:p>
      <w:pPr>
        <w:spacing w:line="560" w:lineRule="exact"/>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spacing w:line="560" w:lineRule="exact"/>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pPr>
        <w:jc w:val="right"/>
        <w:rPr>
          <w:color w:val="auto"/>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spacing w:line="560" w:lineRule="exact"/>
        <w:jc w:val="right"/>
        <w:rPr>
          <w:rFonts w:hint="eastAsia" w:ascii="仿宋" w:hAnsi="仿宋" w:eastAsia="仿宋" w:cs="仿宋"/>
          <w:color w:val="auto"/>
          <w:sz w:val="21"/>
          <w:szCs w:val="21"/>
          <w:highlight w:val="none"/>
        </w:rPr>
      </w:pPr>
    </w:p>
    <w:p>
      <w:pPr>
        <w:keepNext/>
        <w:keepLines/>
        <w:pageBreakBefore w:val="0"/>
        <w:widowControl w:val="0"/>
        <w:kinsoku/>
        <w:wordWrap/>
        <w:overflowPunct/>
        <w:topLinePunct w:val="0"/>
        <w:autoSpaceDE/>
        <w:autoSpaceDN/>
        <w:bidi w:val="0"/>
        <w:adjustRightInd/>
        <w:snapToGrid/>
        <w:spacing w:before="240" w:after="0" w:line="9600" w:lineRule="auto"/>
        <w:ind w:right="-504" w:rightChars="-240"/>
        <w:jc w:val="center"/>
        <w:textAlignment w:val="auto"/>
        <w:outlineLvl w:val="0"/>
        <w:rPr>
          <w:rFonts w:hint="eastAsia" w:ascii="宋体" w:hAnsi="宋体" w:eastAsia="宋体" w:cs="宋体"/>
          <w:b/>
          <w:bCs w:val="0"/>
          <w:color w:val="auto"/>
          <w:sz w:val="32"/>
          <w:szCs w:val="32"/>
          <w:highlight w:val="none"/>
        </w:rPr>
      </w:pPr>
      <w:bookmarkStart w:id="170" w:name="_Toc12051"/>
      <w:r>
        <w:rPr>
          <w:rFonts w:hint="eastAsia" w:ascii="宋体" w:hAnsi="宋体" w:eastAsia="宋体" w:cs="宋体"/>
          <w:b/>
          <w:bCs w:val="0"/>
          <w:color w:val="auto"/>
          <w:sz w:val="32"/>
          <w:szCs w:val="32"/>
          <w:highlight w:val="none"/>
        </w:rPr>
        <w:t>第二</w:t>
      </w:r>
      <w:r>
        <w:rPr>
          <w:rFonts w:hint="eastAsia" w:ascii="宋体" w:hAnsi="宋体" w:eastAsia="宋体" w:cs="宋体"/>
          <w:b/>
          <w:bCs w:val="0"/>
          <w:color w:val="auto"/>
          <w:sz w:val="32"/>
          <w:szCs w:val="32"/>
          <w:highlight w:val="none"/>
          <w:lang w:val="en-US" w:eastAsia="zh-CN"/>
        </w:rPr>
        <w:t>篇</w:t>
      </w:r>
      <w:r>
        <w:rPr>
          <w:rFonts w:hint="eastAsia" w:ascii="宋体" w:hAnsi="宋体" w:eastAsia="宋体" w:cs="宋体"/>
          <w:b/>
          <w:bCs w:val="0"/>
          <w:color w:val="auto"/>
          <w:sz w:val="32"/>
          <w:szCs w:val="32"/>
          <w:highlight w:val="none"/>
        </w:rPr>
        <w:t xml:space="preserve"> </w:t>
      </w:r>
      <w:r>
        <w:rPr>
          <w:rFonts w:hint="eastAsia" w:ascii="宋体" w:hAnsi="宋体" w:eastAsia="宋体" w:cs="宋体"/>
          <w:b/>
          <w:bCs w:val="0"/>
          <w:color w:val="auto"/>
          <w:sz w:val="32"/>
          <w:szCs w:val="32"/>
          <w:highlight w:val="none"/>
          <w:lang w:val="en-US" w:eastAsia="zh-CN"/>
        </w:rPr>
        <w:t xml:space="preserve"> </w:t>
      </w:r>
      <w:r>
        <w:rPr>
          <w:rFonts w:hint="eastAsia" w:ascii="宋体" w:hAnsi="宋体" w:eastAsia="宋体" w:cs="宋体"/>
          <w:b/>
          <w:bCs w:val="0"/>
          <w:color w:val="auto"/>
          <w:sz w:val="32"/>
          <w:szCs w:val="32"/>
          <w:highlight w:val="none"/>
        </w:rPr>
        <w:t>管理要求</w:t>
      </w:r>
      <w:bookmarkEnd w:id="169"/>
      <w:bookmarkEnd w:id="170"/>
    </w:p>
    <w:p>
      <w:pPr>
        <w:spacing w:before="0" w:after="0" w:line="360" w:lineRule="auto"/>
        <w:jc w:val="center"/>
        <w:outlineLvl w:val="9"/>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br w:type="page"/>
      </w:r>
      <w:bookmarkStart w:id="171" w:name="_Toc26337"/>
    </w:p>
    <w:p>
      <w:pPr>
        <w:jc w:val="center"/>
        <w:outlineLvl w:val="1"/>
        <w:rPr>
          <w:rFonts w:hint="eastAsia"/>
          <w:color w:val="auto"/>
          <w:highlight w:val="none"/>
        </w:rPr>
      </w:pPr>
      <w:bookmarkStart w:id="172" w:name="_Toc23255"/>
      <w:bookmarkStart w:id="173" w:name="_Toc23364"/>
      <w:bookmarkStart w:id="174" w:name="_Toc18663"/>
      <w:bookmarkStart w:id="175" w:name="_Toc7349"/>
      <w:bookmarkStart w:id="176" w:name="_Toc26760"/>
      <w:bookmarkStart w:id="177" w:name="_Toc31094"/>
      <w:bookmarkStart w:id="178" w:name="_Toc30211"/>
      <w:bookmarkStart w:id="179" w:name="_Toc4657"/>
      <w:bookmarkStart w:id="180" w:name="_Toc3128"/>
      <w:bookmarkStart w:id="181" w:name="_Toc3489"/>
      <w:bookmarkStart w:id="182" w:name="_Toc9349"/>
      <w:bookmarkStart w:id="183" w:name="_Toc22367"/>
      <w:bookmarkStart w:id="184" w:name="_Toc32560"/>
      <w:bookmarkStart w:id="185" w:name="_Toc18809"/>
      <w:bookmarkStart w:id="186" w:name="_Toc16232"/>
      <w:r>
        <w:rPr>
          <w:rFonts w:hint="eastAsia" w:ascii="宋体" w:hAnsi="宋体" w:eastAsia="宋体"/>
          <w:b/>
          <w:bCs/>
          <w:color w:val="auto"/>
          <w:kern w:val="44"/>
          <w:sz w:val="32"/>
          <w:szCs w:val="32"/>
          <w:highlight w:val="none"/>
          <w:lang w:val="en-US" w:eastAsia="zh-CN" w:bidi="ar-SA"/>
        </w:rPr>
        <w:t xml:space="preserve">第一章 </w:t>
      </w:r>
      <w:bookmarkEnd w:id="172"/>
      <w:bookmarkEnd w:id="173"/>
      <w:bookmarkEnd w:id="174"/>
      <w:bookmarkEnd w:id="175"/>
      <w:bookmarkEnd w:id="176"/>
      <w:bookmarkEnd w:id="177"/>
      <w:bookmarkEnd w:id="178"/>
      <w:bookmarkEnd w:id="179"/>
      <w:bookmarkEnd w:id="180"/>
      <w:bookmarkEnd w:id="181"/>
      <w:bookmarkEnd w:id="182"/>
      <w:bookmarkEnd w:id="183"/>
      <w:bookmarkEnd w:id="184"/>
      <w:r>
        <w:rPr>
          <w:rFonts w:hint="eastAsia" w:ascii="宋体" w:hAnsi="宋体" w:eastAsia="宋体"/>
          <w:b/>
          <w:bCs/>
          <w:color w:val="auto"/>
          <w:kern w:val="44"/>
          <w:sz w:val="32"/>
          <w:szCs w:val="32"/>
          <w:highlight w:val="none"/>
          <w:lang w:val="en-US" w:eastAsia="zh-CN" w:bidi="ar-SA"/>
        </w:rPr>
        <w:t>基本要求</w:t>
      </w:r>
      <w:bookmarkEnd w:id="185"/>
      <w:bookmarkEnd w:id="186"/>
    </w:p>
    <w:p>
      <w:pPr>
        <w:pStyle w:val="5"/>
        <w:spacing w:before="0" w:after="0" w:line="360" w:lineRule="auto"/>
        <w:jc w:val="center"/>
        <w:outlineLvl w:val="2"/>
        <w:rPr>
          <w:rFonts w:hint="eastAsia" w:ascii="宋体" w:hAnsi="宋体" w:eastAsia="宋体" w:cs="宋体"/>
          <w:b/>
          <w:bCs/>
          <w:color w:val="auto"/>
          <w:kern w:val="44"/>
          <w:sz w:val="32"/>
          <w:szCs w:val="32"/>
          <w:highlight w:val="none"/>
          <w:lang w:val="en-US" w:eastAsia="zh-CN" w:bidi="ar-SA"/>
        </w:rPr>
      </w:pPr>
      <w:bookmarkStart w:id="187" w:name="_Toc4918"/>
      <w:r>
        <w:rPr>
          <w:rFonts w:hint="eastAsia" w:ascii="宋体" w:hAnsi="宋体" w:eastAsia="宋体" w:cs="宋体"/>
          <w:b/>
          <w:bCs/>
          <w:color w:val="auto"/>
          <w:kern w:val="44"/>
          <w:sz w:val="32"/>
          <w:szCs w:val="32"/>
          <w:highlight w:val="none"/>
          <w:lang w:val="en-US" w:eastAsia="zh-CN" w:bidi="ar-SA"/>
        </w:rPr>
        <w:t>第一节 安全管理相关要求</w:t>
      </w:r>
      <w:bookmarkEnd w:id="171"/>
      <w:bookmarkEnd w:id="187"/>
    </w:p>
    <w:p>
      <w:pPr>
        <w:jc w:val="center"/>
        <w:outlineLvl w:val="9"/>
        <w:rPr>
          <w:rFonts w:hint="eastAsia" w:ascii="宋体" w:hAnsi="宋体" w:eastAsia="宋体" w:cs="宋体"/>
          <w:b/>
          <w:bCs/>
          <w:color w:val="auto"/>
          <w:sz w:val="28"/>
          <w:szCs w:val="28"/>
          <w:highlight w:val="none"/>
        </w:rPr>
      </w:pPr>
      <w:bookmarkStart w:id="188" w:name="_Toc6821"/>
      <w:bookmarkStart w:id="189" w:name="_Toc16457"/>
      <w:r>
        <w:rPr>
          <w:rFonts w:hint="eastAsia" w:ascii="宋体" w:hAnsi="宋体" w:eastAsia="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rPr>
        <w:t>安全生产风险管理要求</w:t>
      </w:r>
      <w:bookmarkEnd w:id="188"/>
      <w:bookmarkEnd w:id="189"/>
    </w:p>
    <w:p>
      <w:pPr>
        <w:keepNext w:val="0"/>
        <w:keepLines w:val="0"/>
        <w:pageBreakBefore w:val="0"/>
        <w:widowControl w:val="0"/>
        <w:kinsoku/>
        <w:wordWrap/>
        <w:overflowPunct/>
        <w:topLinePunct w:val="0"/>
        <w:autoSpaceDE/>
        <w:autoSpaceDN/>
        <w:bidi w:val="0"/>
        <w:adjustRightInd/>
        <w:snapToGrid/>
        <w:spacing w:line="47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应具备与其从业内容相关的安全生产风险辨识及管控、应对能力。招标文件中明确要求投标单位提供其日常生产管理中辨识、管控、应对安全生产风险的文件或制度、规章、手册的，必须作为投标文件的组成部份组卷报送。招标文件未要求提供的，若投标单位中标，与工程承包人签定专业分包合同，合同履行期间必须满足工程承包人安全生产风险管理具体要求，否则即为违约。</w:t>
      </w:r>
    </w:p>
    <w:p>
      <w:pPr>
        <w:keepNext w:val="0"/>
        <w:keepLines w:val="0"/>
        <w:pageBreakBefore w:val="0"/>
        <w:widowControl w:val="0"/>
        <w:kinsoku/>
        <w:wordWrap/>
        <w:overflowPunct/>
        <w:topLinePunct w:val="0"/>
        <w:autoSpaceDE/>
        <w:autoSpaceDN/>
        <w:bidi w:val="0"/>
        <w:adjustRightInd/>
        <w:snapToGrid/>
        <w:spacing w:line="47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专业分包人应针对可能导致生产安全事故发生及影响其损失程度的致险因素进行安全生产风险辨识，致险因素一般应包含以下方面：</w:t>
      </w:r>
    </w:p>
    <w:p>
      <w:pPr>
        <w:keepNext w:val="0"/>
        <w:keepLines w:val="0"/>
        <w:pageBreakBefore w:val="0"/>
        <w:widowControl w:val="0"/>
        <w:kinsoku/>
        <w:wordWrap/>
        <w:overflowPunct/>
        <w:topLinePunct w:val="0"/>
        <w:autoSpaceDE/>
        <w:autoSpaceDN/>
        <w:bidi w:val="0"/>
        <w:adjustRightInd/>
        <w:snapToGrid/>
        <w:spacing w:line="47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2.1从业人员安全意识、安全与应急技能、安全行为或状态； </w:t>
      </w:r>
    </w:p>
    <w:p>
      <w:pPr>
        <w:keepNext w:val="0"/>
        <w:keepLines w:val="0"/>
        <w:pageBreakBefore w:val="0"/>
        <w:widowControl w:val="0"/>
        <w:kinsoku/>
        <w:wordWrap/>
        <w:overflowPunct/>
        <w:topLinePunct w:val="0"/>
        <w:autoSpaceDE/>
        <w:autoSpaceDN/>
        <w:bidi w:val="0"/>
        <w:adjustRightInd/>
        <w:snapToGrid/>
        <w:spacing w:line="47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2.2生产经营所用基础设施、运输工具、工作场所等设施设备的安全可靠性。</w:t>
      </w:r>
    </w:p>
    <w:p>
      <w:pPr>
        <w:keepNext w:val="0"/>
        <w:keepLines w:val="0"/>
        <w:pageBreakBefore w:val="0"/>
        <w:widowControl w:val="0"/>
        <w:kinsoku/>
        <w:wordWrap/>
        <w:overflowPunct/>
        <w:topLinePunct w:val="0"/>
        <w:autoSpaceDE/>
        <w:autoSpaceDN/>
        <w:bidi w:val="0"/>
        <w:adjustRightInd/>
        <w:snapToGrid/>
        <w:spacing w:line="47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2.3影响安全生产的外部要素的可知性和应对措施； </w:t>
      </w:r>
    </w:p>
    <w:p>
      <w:pPr>
        <w:keepNext w:val="0"/>
        <w:keepLines w:val="0"/>
        <w:pageBreakBefore w:val="0"/>
        <w:widowControl w:val="0"/>
        <w:kinsoku/>
        <w:wordWrap/>
        <w:overflowPunct/>
        <w:topLinePunct w:val="0"/>
        <w:autoSpaceDE/>
        <w:autoSpaceDN/>
        <w:bidi w:val="0"/>
        <w:adjustRightInd/>
        <w:snapToGrid/>
        <w:spacing w:line="47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2.4安全生产管理机构、工作机制及安全生产管理制度的合规性和完备性。 </w:t>
      </w:r>
    </w:p>
    <w:p>
      <w:pPr>
        <w:keepNext w:val="0"/>
        <w:keepLines w:val="0"/>
        <w:pageBreakBefore w:val="0"/>
        <w:widowControl w:val="0"/>
        <w:kinsoku/>
        <w:wordWrap/>
        <w:overflowPunct/>
        <w:topLinePunct w:val="0"/>
        <w:autoSpaceDE/>
        <w:autoSpaceDN/>
        <w:bidi w:val="0"/>
        <w:adjustRightInd/>
        <w:snapToGrid/>
        <w:spacing w:line="47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安全生产风险辨识应充分考虑到所处区域空间内的常规和非常规活动，按照“过去、现在、将来”三种时态和“正常、异常、紧急”三种状态，围绕可能导致事故发生的机械、电器、辐射、物质、火灾、爆炸等致害物和物理、化学、生物、心理、生理、行为等危险因素，以及潜在的事故伤害方式和途径，全面进行分析、辨识。</w:t>
      </w:r>
    </w:p>
    <w:p>
      <w:pPr>
        <w:keepNext w:val="0"/>
        <w:keepLines w:val="0"/>
        <w:pageBreakBefore w:val="0"/>
        <w:widowControl w:val="0"/>
        <w:kinsoku/>
        <w:wordWrap/>
        <w:overflowPunct/>
        <w:topLinePunct w:val="0"/>
        <w:autoSpaceDE/>
        <w:autoSpaceDN/>
        <w:bidi w:val="0"/>
        <w:adjustRightInd/>
        <w:snapToGrid/>
        <w:spacing w:line="47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安全生产风险的辨识范围应包括：</w:t>
      </w:r>
    </w:p>
    <w:p>
      <w:pPr>
        <w:keepNext w:val="0"/>
        <w:keepLines w:val="0"/>
        <w:pageBreakBefore w:val="0"/>
        <w:widowControl w:val="0"/>
        <w:kinsoku/>
        <w:wordWrap/>
        <w:overflowPunct/>
        <w:topLinePunct w:val="0"/>
        <w:autoSpaceDE/>
        <w:autoSpaceDN/>
        <w:bidi w:val="0"/>
        <w:adjustRightInd/>
        <w:snapToGrid/>
        <w:spacing w:line="47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4.1所有人员，含专业分包人内部人员、外来相关业务人员及专业分包人使用的劳务公司进场作业人员、其他作业人员；</w:t>
      </w:r>
    </w:p>
    <w:p>
      <w:pPr>
        <w:keepNext w:val="0"/>
        <w:keepLines w:val="0"/>
        <w:pageBreakBefore w:val="0"/>
        <w:widowControl w:val="0"/>
        <w:kinsoku/>
        <w:wordWrap/>
        <w:overflowPunct/>
        <w:topLinePunct w:val="0"/>
        <w:autoSpaceDE/>
        <w:autoSpaceDN/>
        <w:bidi w:val="0"/>
        <w:adjustRightInd/>
        <w:snapToGrid/>
        <w:spacing w:line="47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4.2所有活动，含常规活动和非常规活动；</w:t>
      </w:r>
    </w:p>
    <w:p>
      <w:pPr>
        <w:keepNext w:val="0"/>
        <w:keepLines w:val="0"/>
        <w:pageBreakBefore w:val="0"/>
        <w:widowControl w:val="0"/>
        <w:kinsoku/>
        <w:wordWrap/>
        <w:overflowPunct/>
        <w:topLinePunct w:val="0"/>
        <w:autoSpaceDE/>
        <w:autoSpaceDN/>
        <w:bidi w:val="0"/>
        <w:adjustRightInd/>
        <w:snapToGrid/>
        <w:spacing w:line="47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4.3所有设施，含专业分包人使用的与分包工程相关的建筑物（自有和租用的）、生产用的机械设备、物资材料等；</w:t>
      </w:r>
    </w:p>
    <w:p>
      <w:pPr>
        <w:keepNext w:val="0"/>
        <w:keepLines w:val="0"/>
        <w:pageBreakBefore w:val="0"/>
        <w:widowControl w:val="0"/>
        <w:kinsoku/>
        <w:wordWrap/>
        <w:overflowPunct/>
        <w:topLinePunct w:val="0"/>
        <w:autoSpaceDE/>
        <w:autoSpaceDN/>
        <w:bidi w:val="0"/>
        <w:adjustRightInd/>
        <w:snapToGrid/>
        <w:spacing w:line="47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4.4所有作业场所，含施工生产场所和影响生产活动的周边环境。</w:t>
      </w:r>
    </w:p>
    <w:p>
      <w:pPr>
        <w:keepNext w:val="0"/>
        <w:keepLines w:val="0"/>
        <w:pageBreakBefore w:val="0"/>
        <w:widowControl w:val="0"/>
        <w:kinsoku/>
        <w:wordWrap/>
        <w:overflowPunct/>
        <w:topLinePunct w:val="0"/>
        <w:autoSpaceDE/>
        <w:autoSpaceDN/>
        <w:bidi w:val="0"/>
        <w:adjustRightInd/>
        <w:snapToGrid/>
        <w:spacing w:line="47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安全生产风险辨识宜围绕以下致险因素，对照国家、行业有关标准规范及集团相关规定逐一进行识别：</w:t>
      </w:r>
    </w:p>
    <w:p>
      <w:pPr>
        <w:keepNext w:val="0"/>
        <w:keepLines w:val="0"/>
        <w:pageBreakBefore w:val="0"/>
        <w:widowControl w:val="0"/>
        <w:kinsoku/>
        <w:wordWrap/>
        <w:overflowPunct/>
        <w:topLinePunct w:val="0"/>
        <w:autoSpaceDE/>
        <w:autoSpaceDN/>
        <w:bidi w:val="0"/>
        <w:adjustRightInd/>
        <w:snapToGrid/>
        <w:spacing w:line="47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5.1工作环境，包括施工场地的周边环境、工程地质、地形地貌、水文气象、道路交通、抢险救灾支持条件等；</w:t>
      </w:r>
    </w:p>
    <w:p>
      <w:pPr>
        <w:keepNext w:val="0"/>
        <w:keepLines w:val="0"/>
        <w:pageBreakBefore w:val="0"/>
        <w:widowControl w:val="0"/>
        <w:kinsoku/>
        <w:wordWrap/>
        <w:overflowPunct/>
        <w:topLinePunct w:val="0"/>
        <w:autoSpaceDE/>
        <w:autoSpaceDN/>
        <w:bidi w:val="0"/>
        <w:adjustRightInd/>
        <w:snapToGrid/>
        <w:spacing w:line="47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5.2平面布局，包括功能区布置（如生产区、生活区、临时设施区、材料堆放区等），有害物质、易燃、易爆、化学危险品储存区布置，建筑物、构筑物布置，安全距离等；</w:t>
      </w:r>
    </w:p>
    <w:p>
      <w:pPr>
        <w:keepNext w:val="0"/>
        <w:keepLines w:val="0"/>
        <w:pageBreakBefore w:val="0"/>
        <w:widowControl w:val="0"/>
        <w:kinsoku/>
        <w:wordWrap/>
        <w:overflowPunct/>
        <w:topLinePunct w:val="0"/>
        <w:autoSpaceDE/>
        <w:autoSpaceDN/>
        <w:bidi w:val="0"/>
        <w:adjustRightInd/>
        <w:snapToGrid/>
        <w:spacing w:line="470" w:lineRule="exact"/>
        <w:ind w:firstLine="420" w:firstLineChars="200"/>
        <w:textAlignment w:val="auto"/>
        <w:outlineLvl w:val="9"/>
        <w:rPr>
          <w:rFonts w:hint="eastAsia"/>
          <w:color w:val="auto"/>
          <w:highlight w:val="none"/>
          <w:lang w:val="en-US" w:eastAsia="zh-CN"/>
        </w:rPr>
      </w:pPr>
      <w:r>
        <w:rPr>
          <w:rFonts w:hint="eastAsia" w:ascii="宋体" w:hAnsi="宋体" w:eastAsia="宋体" w:cs="宋体"/>
          <w:color w:val="auto"/>
          <w:szCs w:val="21"/>
          <w:highlight w:val="none"/>
        </w:rPr>
        <w:t>5.3交通路线，包括临时便道，各施工作业区到作业面、作业点的相连通道，与外界的交通道路等；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5.4建筑结构，包括结构、防火、防爆、防雷击、运输（操作、运输、检修）、通道、闸门、卫生设施等；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5.5作业工序，包括物资特性（毒性、腐蚀性、燃爆性）、压力、速度、作业及控制条件、事故及失控状态、塌方、高空坠落等；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5.6作业设备，包括机械类的运动零部件和工件、操作条件、检修作业、误运转或操作；电器设备的断电、触电、火灾、爆炸、误运转或操作、静电、雷电等；大型设备和高处作业设备（如吊车等）；特殊装置（如锅炉、氧气瓶、乙炔瓶、油料库、危险品库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5.7有害环节，包括粉尘、毒物、噪音、振动等作业区域；</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5.8相关设施，包括办公设施、事故应急设施、生产辅助设施、生活卫生设施等；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5.9管理体系，包括制度建设、责任制建立，机构设置及人员配备；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5.10员工状态，包括从业人员心理和生理因素，遵章守纪情况，以及人机因素等。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安全生产风险辨识分为全面辨识和专项辨识。全面辨识是为全面掌握本单位安全生产风险，全面、系统地对本单位生产经营活动开展的安全生产风险辨识；专项辨识是为及时掌握本单位重点业务、工作环节或重点部位、管理对象的安全生产风险，对本单位生产经营活动范围内部分领域开展的安全生产风险辨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应按工程承包人项目经理部或业务管理部门要求，在合同履约生产任务实施期间，期间超过一年的，应每年至少组织本单位岗位人员、班组长、安全管理人员及相关专业技术人员开展一次安全生产风险全面辨识工作，并在生产经营环节或其要素发生重大变化或有特殊要求时及时开展专项辨识。期间不足一年的，必须按工程承包人项目部或业务管理部门要求开展一次安全生产风险全面辨识，对于危险性较大分部分项工程，必须按工程承包人项目部或业务管理部门要求在分部分项工程施工前组织开展一次专项安全生产风险辨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安全生产风险辨识结束后应形成风险清单。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专业分包人应按工程承包人项目部或业务管理部门要求，依据相关行业安全生产风险等级判定指南对安全生产风险清单中所列风险及危险源进行逐项评估，确定安全生产风险等级及主要致险因素和控制范围。</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专业分包人按工程承包人要求进行分包工程安全生产风险评估工作，其费用包含在分包工程价款中，包括聘请第三方进行风险评估的费用。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工程承包人从总包角度聘请第三方进行风险评估的（评估范围包括分包工程），专业分包人应承担相应费用。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应将安全生产风险清单及针对安全生产风险可能导致的生产安全事故，制定或完善应急预案及措施，及时报工程承包人项目部或业务管理部门备案。专业分包人应如实记录安全生产风险辨识、评估、监测、管控等工作，并规范管理档案。较大和重大安全生产风险及重大危险源应分别单独建立清单和专项档案。</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对工程承包人任何单位或者个人在安全生产风险管理中的违法违规行为，专业分包人应向云南省建设投资控股集团有限公司职能部门投诉或举报。</w:t>
      </w:r>
    </w:p>
    <w:p>
      <w:pPr>
        <w:jc w:val="center"/>
        <w:outlineLvl w:val="9"/>
        <w:rPr>
          <w:rFonts w:hint="eastAsia" w:ascii="宋体" w:hAnsi="宋体" w:eastAsia="宋体" w:cs="宋体"/>
          <w:b/>
          <w:bCs/>
          <w:color w:val="auto"/>
          <w:sz w:val="28"/>
          <w:szCs w:val="28"/>
          <w:highlight w:val="none"/>
          <w:lang w:val="en-US" w:eastAsia="zh-CN"/>
        </w:rPr>
      </w:pPr>
      <w:bookmarkStart w:id="190" w:name="_Toc29652"/>
      <w:bookmarkStart w:id="191" w:name="_Toc5365"/>
      <w:r>
        <w:rPr>
          <w:rFonts w:hint="eastAsia" w:ascii="宋体" w:hAnsi="宋体" w:eastAsia="宋体" w:cs="宋体"/>
          <w:b/>
          <w:bCs/>
          <w:color w:val="auto"/>
          <w:sz w:val="28"/>
          <w:szCs w:val="28"/>
          <w:highlight w:val="none"/>
          <w:lang w:val="en-US" w:eastAsia="zh-CN"/>
        </w:rPr>
        <w:t>二、生产作业区域消防及森林防火安全管理要求</w:t>
      </w:r>
      <w:bookmarkEnd w:id="190"/>
      <w:bookmarkEnd w:id="191"/>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应具备与其从业内容相关的有效预防、实施生产作业区域消防安全管理及森林防火工作的规章、制度及能力。招标文件中明确要求投标单位提供其日常生产管理中关于生产作业区域消防安全管理及森林防火工作管理文件或制度、规章的，必须作为投标文件的组成部份组卷报送。招标文件未要求提供的，若投标单位中标，与工程承包人签定专业分包合同，合同履行期间必须满足工程承包人关于生产作业区域消防安全管理及森林防火工作管理的具体要求，否则即为违约。</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专业分包人应服从工程承包人项目部和业务管理部门的要求，负责具体落实与其分包工程相关的消防防火措施并承担直接责任。</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凡生产作业区域消防安全及森林防火责任区涉及到其他单位或组织的，应按工程承包人统一安排与相关单位签订联防协议，建立联防机制，切实做好生产作业区域消防安全及森林防火工作。</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必须分责任区域确定消防安全责任人，有针对性的建立健全与分包工程施工、工作环境、条件相当的消防安全及森林防火管理制度及操作规程，严格执行现场动火审批制度，定期开展现场消防及森林防火巡逻和日常消防安全隐患自查自改工作。</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分包单位必须按我方项目部或业务管理部门要求，组建或参建现场义务消防队，参加或自行组织日常应急培训及现场消防灭火、应急疏散演练活动。</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必须按工程承包人项目部或业务管理部门要求，在生产作业区域设置相应的消防设施、设备、器材和消防警示、安全疏散标志，以及防火宣传牌，并指定专人定期及接受工程承包人人员对其进行检验、维修，确保消防设施和器材完好、有效，专业分包人需准确记录消防设施设备、器材的类型、数量、摆放位置、检查维修及更新时间等，建立健全消防设施设备、器材档案。</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在其施工现场应在周围无可燃材料的职民工驻地、通道口、加工区域、楼层内等地方设置符合消防安全条件的固定吸烟室，吸烟室应配置固定点烟器、灭火器材等，或使用工程承包人设置的吸烟室，或在工程承包人确定并许可的区域吸烟，严禁在施工现场随意吸烟。</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应定期组织开展并接受工程承包人消防安全及森林防火专项大检查，积极排查并及时整改消防安全及森林防火隐患，保证生产作业区域消防疏散通道、安全出口畅通，森林防火安全距离满足要求。必要时应在进入林区、油库、爆炸物品仓库等重要防火区域的便道、通道出入口设置临时检查站（点），对出入人员、车辆进行实名登记，及时收缴及代存打火机等火源，并加强宣传教育。</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应指定专（兼）职消防安全管理人员负责分包工程现场消防安全日常巡查工作。现场专（兼）职消防安全管理人员应每天组织现场义务消防队员开展生产作业区域消防安全及森林防火巡查，做好巡查记录。对于火灾高危区域应加大防火巡查频次，每天巡查次数应不少于2次。</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专业分包人应结合分包工程项目特点及现场实际，编制并严格执行施工现场防火技术方案。防火技术方案应包括以下内容：</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10.1施工现场重大火灾危险源辨识。</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10.2施工现场防火技术及管理措施。</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10.3临时消防设施、临时疏散通道等配备与布置标准及要求。</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10.4临时消防设施和消防警示标识布置图。</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专业分包人应监督本单位所有从业人员，包括本单位劳务分包作业人员及进入生产作业区域的相关人员严格遵守以下规定：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11.1严禁在野外违规用火、违章敷设电线，严禁森林高火险期在森林防火区内进行野外用火作业。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11.2严禁在生产作业区域流动吸烟、生火煮饭及明火取暖，严禁寒冷季节在驻地宿舍内通宵使用电热毯取暖。</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11.3严禁在生产作业区域内使用电炉，确因工作需要使用电炉的，必须办理动火许可手续。</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11.4严禁在施工现场焚烧垃圾、焚香烧纸及燃放烟花爆竹。</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11.5严禁携带火机、火柴和易燃易爆物品进入林区及油库等重要防火区域。</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11.6严禁在一般物资仓库、档案室、配电房、办公室和宿舍内存放易燃易爆物品。</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11.7严禁在物资仓库内使用燃油清洗工件，严禁在油料存放处、喷漆房内等场所吸烟、点火或割焊物件，严禁在建建筑物内住人。</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11.8严禁乱拉乱接电源和使用不满足安全标准的电源线、电阻器、启动开关等电器和器材，严禁用其他金属代替用电设备保险丝，严禁使用其他物品代替绝缘胶布。</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11.9严禁生产作业区域吸烟及乱丢未熄灭的烟头，严禁乱倒废油或带火星的垃圾。</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11.10严禁占用、挪用和损坏消防设施及灭火器材，严禁堵塞消防疏散通道和安全出口。</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必须在焊接、切割、烘烤或加热等动火作业前，对作业现场的可燃物进行清理。作业现场及其附近无法移走的可燃物应采用不燃材料对其覆盖或隔离。动火作业应设置动火监护人进行现场监护，动火作业结束时，监护人应对现场进行检查，确认现场无火灾危险后，监护人和动火作业人员方可离开。</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严禁在存在火灾、爆炸危险的场所使用明火，严禁在裸露的可燃材料上直接进行动火作业。进行电焊、气焊等具有火灾危险作业的人员和自动消防系统操作人员，必须持证上岗，并严格遵守消防安全操作规程。</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施工临时消防设施的设置应满足在建工程施工进度要求，宜遵循“永临结合”的原则，可先行组织完成部分永久性消防工程设施的施工任务来减少临时消防设施的投入。</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用于在建工程的保温、防水、装饰及防腐等材料的燃烧性能等级应符合设计要求，可燃材料及易燃易爆危险品应按计划限量进场，并按规定存放。施工产生的可燃、易燃建筑垃圾或余料应及时清理。</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室内及密闭空间内使用油漆及有机溶剂等易挥发产生易燃气体的物资作业时，应保持良好通风，作业场所严禁明火，并防止产生静电。</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生产作业区域的电气线路和电气设施设备应满足国家有关标准规范的要求。易燃易爆危险品库房、可燃材料堆场与生产作业区域及相关设施的防火安全距离应满足规定。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生产作业区域内储装气体的罐瓶及其附件应合格、完好和有效，其运输、存放和使用应符合相关规定。严禁使用减压器及其附件缺损的氧气瓶，严禁使用乙炔专用减压器、回火防止器及其附件缺损的乙炔瓶。</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分包生产作业区域发生火灾及森林火灾时，专业分包人应按照既定的消防应急预案，立即启动应急响应程序，及时拨打火警电话（119）或森林火警电话（12119），并在第一时间内向工程承包人报告。对于初起火灾，专业分包人应在确保人身安全的前提下立即组织现场人员进行扑救。</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工程承包人实施各种消防安全检查中发现的火灾隐患，工程承包人检查单位及检查人员应当场下达隐患整改通知书，专业分包人须立即进行整改，及时清除隐患。</w:t>
      </w:r>
    </w:p>
    <w:p>
      <w:pPr>
        <w:jc w:val="center"/>
        <w:outlineLvl w:val="9"/>
        <w:rPr>
          <w:rFonts w:hint="eastAsia" w:ascii="宋体" w:hAnsi="宋体" w:eastAsia="宋体" w:cs="宋体"/>
          <w:b/>
          <w:bCs/>
          <w:color w:val="auto"/>
          <w:sz w:val="28"/>
          <w:szCs w:val="28"/>
          <w:highlight w:val="none"/>
          <w:lang w:val="en-US" w:eastAsia="zh-CN"/>
        </w:rPr>
      </w:pPr>
      <w:bookmarkStart w:id="192" w:name="_Toc20038"/>
      <w:r>
        <w:rPr>
          <w:rFonts w:hint="eastAsia" w:ascii="宋体" w:hAnsi="宋体" w:eastAsia="宋体" w:cs="宋体"/>
          <w:b/>
          <w:bCs/>
          <w:color w:val="auto"/>
          <w:sz w:val="28"/>
          <w:szCs w:val="28"/>
          <w:highlight w:val="none"/>
          <w:lang w:val="en-US" w:eastAsia="zh-CN"/>
        </w:rPr>
        <w:t>三、特殊天气施工安全管理要求</w:t>
      </w:r>
      <w:bookmarkEnd w:id="192"/>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应具备与其从业内容相关的特殊天气状态下施工安全管理的规章、制度及实施能力。招标文件中明确要求投标单位提供其日常生产管理中关于特殊天气施工安全管理文件或制度、规章的，必须作为投标文件的组成部份组卷报送。招标文件未要求提供的，若投标单位中标，与工程承包人签定专业分包合同，合同履行期间必须满足工程承包人关于特殊天气施工安全管理的具体要求，接受工程承包人项目部或业务管理部门统一安排及管理，承担相关责任及相关费用，否则即为违约。</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本文所称特殊天气主要包括雷雨、暴雨（强降雨）、连续降雨、强风、雾霾及沙尘、霜雪及冰雹、低温、高温（炎热）等天气现象。其中：</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2.1雷雨天气是特指挟带闪电、雷击的暴雨天气现象。</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2.2暴雨（强降雨）天气是指每小时降水量达 16mm 及以上，</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或连续 12 小时降水量达 30mm 及以上，或连续 24 小时降水量达到50mm 及以上的强降水天气现象。连续 24 小时降水量达到 100～250mm 时称为大暴雨；连续 24 小时降水量达到 250mm 以上时称为特大暴雨。</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2.3连续降雨天气是指持续时间较长、强度变化较小的降水天气现象。</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2.4强风天气是特指离地面高度 10 米处风力达到 4 级及以上的天气现象。</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2.5雾霾及沙尘天气特是指能见度小于 1000 米的雾霾及沙尘天气现象。</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2.6霜雪及冰雹天气是特指受强冷空气影响形成的霜冻或降雪及冰雹天气现象。24 小时内降雪量达 5～10mm 的称为大雪天气。</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2.7低温天气是特指日平均气温低于或等于 5℃，或日最低气温低于或等于-3℃时的天气现象。</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2.8高温天气是指日最高气温达到或超过 35℃的天气现象。</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应随时关注工程项目所在地天气预警预报情况，并按工程承包人项目部或业务管理部门要求，组织制订特殊天气专项施工方案和应急预案及处置方案，组织开展特殊天气安全意识教育和交底，并配发相关防护用品，提高从业人员针对特殊天气的防范意识和自救互救能力。</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当施工现场突遇特殊天气时，受特殊天气影响的相关人员必须立即停止施工作业，并在采取必要控制措施后，及时撤离施工作业现场。</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分包工程项目发生特殊天气重大突发事件及出现重大险情时，应及时向工程承包人项目部或业务管理部门报告。</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可能出现雷雨、暴雨天气时，应及时停止各类起重机械和桩工机械作业，及时将施工升降机吊笼、物料提升机吊盘及高处作业吊篮降至地面后切断电源，并全面检查塔式起重机、门（桥）式起重机、施工升降机、物料提升机等设备设施的避雷装置、安全装置及基础排水设施。</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当即将出现雷雨、暴雨天气时，应立即停止模板安拆、脚手架搭拆、起重机安拆等露天高处作业。严禁在雷雨、暴雨天气条件下进行露天焊接作业、高处作业、爆破作业和起重作业。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除执行紧急抢险任务外，严禁各类土石方机械在雷雨、暴雨等恶劣天气条件下进行野外作业。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当突遇雷雨天气时，施工现场所有人员应立即采取跳跃或小跨步跑动的方式迅速躲避至附近建筑物内。严禁在空旷或靠近树木、金属物体及电力设施设备的地方进行活动或停留。</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当进入汛期及可能出现连续 24 小时降水量超过100mm 的大暴雨天气时，应及时组织对高边坡、深基坑、脚手架、模板支撑、塔式起重机、施工升降机、临时用电、临时道路、取弃土场、生活办公区等区域和设备设施进行一次全面检查、加固和疏浚，并做好相关记录。</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当可能出现连续 24 小时降水量超过 250mm 的特大暴雨天气或连续降雨天气时，应全面检查基坑排水备用设备，并安排专人对深基坑、高边坡、取弃土场、隧道洞口及竖井口、生活与办公区域周边等区域和部位进行 24 小时不间断巡查，并适时提高对基坑、边坡及周边山体的监控观测和量测频率。</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当发现地面严重积水，生活与办公区和隧道及竖井内出现雨水倒灌时，应迅速采用防汛沙袋等物资进行必要封堵，并及时组织人员撤离危险区域。</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当即将出现暴雨、大暴雨、特大暴雨天气或连续降雨天气时，应严格执行以下规定，以防止因洪水、泥石流、滑坡、崩塌引发的次生灾害：</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13.1立即停止临河、临坡及地势相对低洼的区域的施工作业。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13.2立即停止基坑和边坡工程的开挖与支护作业。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13.3立即停止可能受到特殊天气影响的其它施工作业，并及时将可能受影响区域内的人员及重要物资设备提前转移至安全地带。</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当雷雨、暴雨和连续降雨停止后，应及时做好以下工作：</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14.1全面清除场内道路、通道、模板及脚手架作业平台等设施上的积水，及时采取有效的防滑措施。</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14.2全面检查施工场地、道路、边坡、基坑坑壁及取弃土场被雨水冲刷情况，及时采取有效的防滑坡、防坍塌措施。</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14.3全面检查塔式起重机、门（桥）式起重机、施工升降机基础、轨道、制动装置及防雷安全装置，及时处理检查中发现的各种问题。</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14.4全面检查脚手架及各类高处作业设施，及时处理检查中发现的各种问题。</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14.5全面检查活动板房、临时围墙围挡等临建设施及标志标牌，及时处理检查中发现的各种问题。</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当施工现场可能出现 4 级（平均风速为 5.5m／s）以上风力时，施工现场不得安排塔式起重机安装拆卸及顶升加节作业。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当在塔式起重机安装拆卸及顶升加节作业过程中风力突然增大至 4 级（平均风速为 5.5m／s）以上时，应立即暂停相关作业，并迅速将上、下塔身连接螺栓紧固到位。</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当施工现场出现 5 级（平均风速为 8.0m／s）以上风力时，应立即暂停以下施工作业：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17.1大模板等大件物资吊运作业；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17.2脚手架搭拆及附着式脚手架升降作业；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17.3室外模板安拆及爬、滑模爬（滑）升作业；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17.4室外高处（空）作业；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17.5露天起重吊装作业；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17.6室外焊接及气割作业；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17.7屋面彩钢瓦及外墙彩钢瓦安装与拆除作业。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当施工现场可能即将遭遇6级（平均风速为10.8m／s）以上强风天气时，应及时组织对施工现场的活动板房、围墙围挡、施工用电等临建设施及标识标牌进行全面检查和临时加固。</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当施工现场风力达到6级（平均风速为10.8m／s）以上时，应严格遵守以下规定：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19.1严禁开展露天登高及悬空高处作业。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19.2严禁开展室外起重运输和起重吊装作业。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19.3严禁开展室外脚手架及模板搭设拆除作业。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19.4严禁开展塔式起重机和施工升降机锚固装置安装或拆卸作业。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19.5及时将施工升降机、物料提升机吊笼、吊盘及高处作业吊篮降落到地面，并切断电源。</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19.6及时将门式起重机等行走式起重机械停靠至轨道中间位置或其他相对安全的位置，并锁紧夹轨器。</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19.7及时将塔式起重机起重臂顺风向摆放，并将回转机构的制动器完全松开，确保起重臂能随风转动。</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19.8及时将各类起重机的吊物卸至安全地点，并将起重吊钩收至最高位置和靠近塔身（立柱）位置。</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19.9及时停止各类桩工机械作业，并将桩工机械顺风向停置，同时增加临时缆风装置。</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19.10及时停止架桥机架梁作业，并及时将已就位 T 梁的横向钢筋连接到位。</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当施工现场风力可能达到8级（平均风速为17.2m／s）以上时，应严格遵守以下规定：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20.1严禁开展露天爆破作业。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20.2及时将自行式起重机械起重桅杆（起重臂）和桩工机械桩架及导向架放倒至水平状态。</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20.3及时用手拉葫芦对架桥机、门式起重机等进行临时固定。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20.4及时对活动板房、围墙围挡、脚手架、模板支撑等设施进行临时加固。</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20.5及时拆除存在安全隐患的标志标牌和临时用电线路。</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20.6及时切断临时用电总闸电源。</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当施工现场风力可能达到 10 级（平均风速为24.5m／s）以上时，所有人员应及时从活动板房内撤离到其它安全场所进行避险。</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 6 级（平均风速为 10.8m／s）以上强风停止后，应及时做好以下工作：</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22.1全面检查和调试塔式起重机、门（桥）式起重机、施工升降机整机状态，并对发现问题进行及时处理。</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22.2全面检查脚手架等高处作业设施，并对发现问题进行及时处理。</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22.3全面检查活动板房、现场围墙围挡等临建设施及标志标牌，并对发现的问题进行及时处理。</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当施工现场出现能见度低于 1000 米的雾霾及沙尘天气时，不宜安排作业人员从事室外施工作业。当施工现场出现能见度低于 500 米的大雾及沙尘天气时，严禁有心血管及呼吸道疾病的人员从事室外施工作业。从事雾霾及沙尘天气作业的人员应严格按照国家有关规定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佩戴防尘口罩及护目镜等个人防护用品。</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当施工现场出现能见度不足 200 米的雾霾及沙尘天气时，严禁开展露天架空线路敷设作业。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当施工现场出现能见度不足 100 米的雾霾及沙尘天气时，严禁开展露天爆破作业、起重吊装作业和起重设备安装拆卸及顶升加节作业。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当施工现场出现能见度不足 50 米的雾霾及沙尘天气时，应暂停各类桩工、土石方及起重机械运转作业，并禁止使用混凝土泵车进行混凝土浇筑作业。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27</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当施工现场出现能见度不足 20 米的雾霾及沙尘天气时，严禁开展室外作业及升降、提升机械运转作业。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当出现能见度低于 500 米的雾霾及沙尘天气时，各类生产运输车辆在现场场内道路及施工便道上的行驶时速不得超过10 公里；能见度低于50 米时，应将行驶时速控制在 5 公里以下，并选择合适位置及时停车。</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29</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当工程项目所在地 24 小时内可能出现能见度小于 500 米的雾霾及沙尘天气时，项目负责人应及时提醒相关作业班组负责人合理调整现场作业安排。</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施工现场出现霜雪及冰雹天气时，不得安排边坡支护、脚手架搭拆、模板安拆、钢筋绑扎、起重吊装、起重机安拆、外墙装饰装修、金属焊接等室外高处作业、悬空作业及焊接作业，并安排专人对现场道路进行必要的交通管制，及时封闭危险路段，防止因道路湿滑导致现场交通安全事故发生。</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31.当出现大雪天气时，应安排专人对临建设施屋顶、深基坑周边等的积雪堆积情况进行 24 小时不间断巡查，及时清除过大积雪，以防止临建设施屋顶和基坑侧壁等因荷载过大而发生坍塌。发现紧急情况时，应及时组织相关人员撤离危险区域。</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当施工作业过程中突遇冰雹天气时，室外作业人员应迅速躲避至附近建（构）筑物内或其它可以隐蔽的地方，以防止自身被冰雹击伤。</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当霜雪及冰雹天气结束时，应及时清除施工道路、场地、安全通道、模板、作业平台、登高设施、机械设备等表面的积雪、积水和冰霜，并采取有效的防滑措施后，方可进行施工作业。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当霜雪天气结束时，应全面检查起重机械安全装置和整机结构部件，并经试吊确认起重制动器及安全装置灵敏可靠后，方可进行起重吊运及吊装作业。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当发现施工升降机导轨架、电缆等结冰时，应立即停止其运行，并将梯笼及时降至地面，切断电源进行处理。</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低温天气施工安全管理第三十四条 当施工现场日平均气温低于或等于 5℃，或日最低气温低于或等于-3℃时，作业人员全天从事室外低温天气作业的时间不宜超过 4 小时。</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37</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组织开展低温天气作业前，必须对从事低温天气作业的人员进行岗前职业卫生培训，培训内容应至少包括以下内容：</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37.1低温作业健康危害和冻伤症状识别常识；</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37.2低温防护及危害预防知识；</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37.3冻伤急救及应急处置措施。</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在组织开展低温天气作业时，应连续对低温天气作业场所的气温进行监测，并在低温天气作业场所附近设置采暖温度不低于 18℃，容纳面积不小于最大班次作业人数的临时取暖休息室（棚）。低温天气取暖必须全面落实有关现场消防安全管理的各项规定。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39</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从事低温天气作业的人员必须穿戴好与低温天气气温相适应的防寒、防潮保暖服装及鞋、帽、手套等个人防护用品。</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40</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作业人员在进行连续低温天气作业时，应严格执行以下规定：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40.1进行中等或重体力作业的人员，在连续低温天气作业过程中，宜中途到临时取暖休息室（棚）至少休息 10 分钟。作业结束时，宜及时到其他温暖场所进行休息。</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40.2进行轻体力作业的人员，在连续低温天气作业过程中，应至少到临时取暖休息室（棚）休息 1 至 2 次。</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40.3进行少量体力活动的作业人员，在连续低温天气作业过程中，应至少到临时取暖休息室（棚）休息 4 次，并保证每次持续低温天气作业的时间最长不得超过 40 分钟。</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当施工现场最低气温低于-5℃时，一般不宜安排室外施工作业。确因特殊情况需要进行室外施工作业时，作业人员全天连续从事室外低温天气作业的时间不宜超过 3 小时。</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当施工现场气温低于-10℃时，不得安排室外高处作业。确因特殊情况需要进行室外高处作业的，作业人员连续参加室外低温天气高处作业的时间不得超过 1 小时。</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当施工现场气温低于-20℃时，应立即停止起重吊装作业。确因特殊情况需要进行吊装作业时，必须保证吊装机械、索具及被吊设备、构件具备与现场最低气温相适应的低温性能。</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严禁年龄在 50 周岁以上，患有高血压、心脏病、胃肠功能障碍等疾病的人员和处于经期、孕期、产期、哺乳期的女工从事低温天气作业。对于在海拔高度在 3000 米以上的地区从事生产作业的人员，</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应对其进行岗前及经常性职业健康检查，严禁患有心、肺、脑血管性疾病的人员从事低温高海拔作业。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低温天气作业期间，宜统一为从事低温天气作业的人员提供足够的以糖水为主的热饮和富含蛋白质及维生素 C的热食餐品。</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当日最高气温达到 40℃以上时，必须停止当日室外露天作业。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47</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当日最高气温达到 37℃以上、40℃以下时，不得在气温最高时段 3 小时内安排露天作业。当日累计安排室外露天作业的时间不得超过 6 小时，连续作业时间不得超过以下规定：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47.1重劳动不超过 20 分钟；</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47.2中等劳动不超过 30 分钟；</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47.3轻劳动不超过 40 分钟。</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48</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当日最高气温达到 35℃以上、37℃以下时，应采取换班轮休、短时多段轮班等方式缩短作业人员的连续工作时间，连续作业时间不得超过 4 小时。严禁安排作业人员连续加班进行高温天气露天作业。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49</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严禁安排怀孕女工和未成年工在 35℃以上的高温天气期间从事室外露天作业及温度在 33℃以上工作场所作业。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高温天气不宜安排露天焊接及热切割作业。当日最高气温超过 35℃时，禁止在气温最高时段 3 小时内进行爆破作业，严禁将民用爆破器材放在强烈日光下曝晒。</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应定期组织对从事高温天气作业的人员进行职业健康检查。禁止患有心、肺、脑血管性疾病、肺结核、中枢神经系统疾病及其他身体状况不适合高温作业的人员从事高温天气作业。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应统一为从事高温天气作业的人员提供清洁饮用水或淡盐水及人丹、藿香合剂（不得含酒精成分）、清凉油等防暑用品，并根据现场从事高温天气作业的人数及现场条件，在高温工作环境设置备有座椅的防暑降温休息室和配备足量的急救药品及交通工具。</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应加强对作业人员的高温防护和中暑急救宣传教育，增强作业人员对高温中暑的防范意识和自救互救能力，并加强高温天气时段的现场巡查监管力度，严禁违规开展高温天气作业。任何情况下，严禁单独一人从事高温天气作业。</w:t>
      </w:r>
    </w:p>
    <w:p>
      <w:pPr>
        <w:jc w:val="center"/>
        <w:outlineLvl w:val="9"/>
        <w:rPr>
          <w:rFonts w:hint="eastAsia" w:ascii="宋体" w:hAnsi="宋体" w:eastAsia="宋体" w:cs="宋体"/>
          <w:b/>
          <w:bCs/>
          <w:color w:val="auto"/>
          <w:sz w:val="28"/>
          <w:szCs w:val="28"/>
          <w:highlight w:val="none"/>
          <w:lang w:val="en-US" w:eastAsia="zh-CN"/>
        </w:rPr>
      </w:pPr>
      <w:bookmarkStart w:id="193" w:name="_Toc18485"/>
      <w:bookmarkStart w:id="194" w:name="_Toc7972"/>
      <w:r>
        <w:rPr>
          <w:rFonts w:hint="eastAsia" w:ascii="宋体" w:hAnsi="宋体" w:eastAsia="宋体" w:cs="宋体"/>
          <w:b/>
          <w:bCs/>
          <w:color w:val="auto"/>
          <w:sz w:val="28"/>
          <w:szCs w:val="28"/>
          <w:highlight w:val="none"/>
          <w:lang w:val="en-US" w:eastAsia="zh-CN"/>
        </w:rPr>
        <w:t>四、职业健康管理工作要求</w:t>
      </w:r>
      <w:bookmarkEnd w:id="193"/>
      <w:bookmarkEnd w:id="194"/>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应具备与其从业内容相关的有效预防、控制和消除作业场所职业危害，防治职业病，保护从业人员健康及相关权益的规章、制度及实施能力。招标文件中明确要求投标单位提供其日常生产管理中关于职业健康管理文件或制度、规章的，必须作为投标文件的组成部份组卷报送。招标文件未要求提供的，若投标单位中标，与工程承包人签定专业分包合同，合同履行期间必须满足工程承包人关于职业健康管理的具体要求，否则即为违约。</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工作场所职业危害是指从业人员在工作场所从事职业活动中，由于接触粉尘、毒物等职业病危害因素而对身体健康所造成的各种损害。</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职业病是指从业人员在职业活动中，因接触粉尘、放射性物质和其它有毒、有害因素而引起的疾病。</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职业病危害项目，是指存在职业病危害因素分类目录所列职业病危害因素的项目。</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可能产生职业病危害的建设项目是指存在或者产生职业病危害因素分类目录所列职业病危害因素的建设项目，包括新建、改建、扩建的工程建设项目和技术改造、技术引进项目。</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职业禁忌是指从业人员在从事特定职业或者接触特定职业危害因素时，比一般职业人群更容易遭受职业病危害和罹患职业病或者可能导致原有自身疾病病情加重，或者在从事作业过程中诱发可能导致对他人生命健康构成危险的疾病的个人特殊生理或者病理状态。</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职业健康监护是指对从业人员上岗前、在岗期间、离岗时、应急的职业健康检查和职业健康监护档案管理。</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职业病防护设施是指消除或者降低工作场所的职业病危害因素的浓度或者强度，预防和减少职业病危害因素对从业人员健康的损害或者影响，保护从业人员健康的设备、设施、装置、构（建）筑物等的总称。</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应服从工程承包人项目部或业务管理部门要求，将职业危害因素辨识、检测和评价统一纳入安全生产风险辨识和评价工作内容，并对照《职业病危害因素分类目录》，开展工作场所职业危害因素辨识、检测和评价。当存在职业病危害项目时，应如实向工程承包人项目部或业务管理部门报告并配合工程承包人向所在地安全生产监督管理部门进行职业病危害项目申报，并接受监督管理。</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专业分包人按工程承包人项目部或业务管理部门要求填报或配合工程承包人向地方安全生产监督管理部门申报职业病危害项目时，应提交《职业病危害项目申报表》和下列文件、资料：</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7.1专业分包人及分包项目实施团队的基本情况；</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7.2产生职业危害因素的生产技术、工艺和材料的情况；</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7.3作业场所职业危害因素的种类、浓度和强度的情况；</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7.4作业场所接触职业危害因素的人数及分布情况；</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7.5职业危害防护设施及个人防护用品的配备情况；</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7.6对接触职业危害因素从业人员的管理情况；</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7.7法律、法规和规章规定的文件、资料。</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职业病危害项目填报及申报应同时采取电子数据和纸质文本两种方式。</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对于职业病危害严重的工作场所，工程承包人有权要求专业分包人设置或指定职业卫生管理机构，配备专职职业卫生管理人员，负责职业病防治工作。对于其他存在职业病危害的工作场所，专业分包人应按工程承包人项目部或业务管理部门要求开展相关工作。</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对于存在职业病危害的工作场所，专业分包人应按工程承包人项目部或业务管理部门要求针对职业病危害特点，制定或配合工程承包人制定相应的职业病危害防治计划和实施方案及职业卫生管理制度、操作规程和应急救援预案，一般应包括：</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10.1职业病危害防治责任制度；</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10.2职业病危害警示与告知制度；</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10.3职业病危害项目申报制度；</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10.4职业病防治宣传教育培训制度；</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10.5职业病防护设施维护检修制度；</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10.6职业病防护用品管理制度；</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10.7职业病危害监测及评价管理制度；</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10.8建设项目职业卫生“三同时”管理制度；</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10.9从业人员职业健康监护及其档案管理制度；</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10.10职业病危害事故处置与报告制度；</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10.11职业病危害应急救援与管理制度；</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10.12岗位职业卫生操作规程；</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10.13职业病危害事故应急救援预案；</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10.14法律、法规、规章规定的其他职业病防治制度。</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分包项目实施过程中， 产生职业病危害的工作场所应符合以下基本要求：</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11.1生产布局合理，有害作业与无害作业分开；</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11.2工作场所与生活场所分开，工作场所不得住人；</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11.3有与职业病防治工作相适应的有效防护设施；</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11.4职业病危害因素的强度或者浓度符合国家职业卫生标准；</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11.5有配套的更衣间、洗浴间、孕妇休息间等卫生设施；</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11.6设备、工具、用具等设施符合保护从业人员生理、心理健康的要求；</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11.7法律、法规、规章和国家职业卫生标准的其他规定。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对于产生职业病危害的工作场所，专业分包人应按工程承包人要求或配合工程承包人在醒目位置设置公告栏，公布有关职业病防治的规章制度、操作规程、职业病危害事故应急救援措施和工作场所职业病危害因素检测结果，对于存在或产生职业病危害的作业岗位、设备、设施，应按照《工作场所职业病危害警示标识》（GBZ158）规定，在醒目位置设置图形、警示线、警示语句等警示标识和中文警示说明。警示说明应载明产生职业病危害的种类、后果、预防和应急处置措施等内容。存在或产生高毒物品的作业岗位，应按照《高毒物品作业岗位职业病危害告知规范》（GBZ/T203）规定，在醒目位置设置高毒物品告知卡，告知卡应载明高毒物品的名称、理化特性、健康危害、防护措施及应急处理等告知内容与警示标识。</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专业分包人应为从业人员提供符合国家职业卫生标准的职业病防护用品，并督促、指导从业人员按照使用规则正确佩戴、使用，不得发放钱物替代发放职业病防护用品。</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专业分包人应对职业病防护用品进行经常性的维护、保养，确保防护用品有效，不得使用不符合国家职业卫生标准或者已经失效的职业病防护用品。</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对于可能发生急性职业损伤的有毒、有害工作场所，必须设置报警装置，配备和设置现场急救用品、冲洗设备、应急撤离通道和必要的泄险区。</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现场急救用品、冲洗设备等应设在可能发生急性职业损伤的工作场所或者临近地点，并在醒目位置设置清晰的标识。</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对于可能突然泄漏或者逸出大量有害物质的密闭或者半密闭工作场所，还应安装事故通风装置以及与事故排风系统相连锁的泄漏报警装置。</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严禁使用国家明令禁止使用的可能产生职业病危害的设备或材料，严禁使用没有中文说明书或产品包装没有醒目警示标识和中文警示说明的设备或化学品。</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使用可能产生职业病危害的设备时，应在设备醒目位置设置警示标识和中文警示说明。警示说明应载明设备性能、可能产生的职业病危害、安全操作和维护注意事项、职业病防护措施等内容。</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可能产生职业病危害的化学品时，其产品包装上必须有醒目的警示标识和中文警示说明。警示说明应载明产品特性、主要成份、存在的有害因素、可能产生的危害后果、安全使用注意事项、职业病防护和应急救治措施等内容。贮存可能产生职业病危害的化学品的场所应在醒目位置设置危险物品标识。</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发生职业病危害事故时，专业分包人应及时向工程承包人报告并配合工程承包人向所在地安全生产监督管理部门及有关部门报告，同时采取有效措施，减少或者消除职业病危害因素，防止事故扩大。对于遭受或可能遭受急性职业病(职业中毒)危害的从业人员，分包单位及时组织救治、进行健康检查和医学观察。不得故意破坏事故现场、毁灭有关证据，不得迟报、漏报、谎报或瞒报职业病危害事故。</w:t>
      </w:r>
    </w:p>
    <w:p>
      <w:pPr>
        <w:outlineLvl w:val="9"/>
        <w:rPr>
          <w:rFonts w:hint="eastAsia" w:ascii="宋体" w:hAnsi="宋体" w:eastAsia="宋体" w:cs="宋体"/>
          <w:b/>
          <w:bCs/>
          <w:color w:val="auto"/>
          <w:sz w:val="28"/>
          <w:szCs w:val="28"/>
          <w:highlight w:val="none"/>
        </w:rPr>
      </w:pPr>
      <w:r>
        <w:rPr>
          <w:rFonts w:hint="eastAsia" w:ascii="宋体" w:hAnsi="宋体" w:eastAsia="宋体" w:cs="宋体"/>
          <w:color w:val="auto"/>
          <w:szCs w:val="21"/>
          <w:highlight w:val="none"/>
        </w:rPr>
        <w:br w:type="page"/>
      </w:r>
      <w:bookmarkStart w:id="195" w:name="_Toc20308"/>
      <w:bookmarkStart w:id="196" w:name="_Toc24860"/>
    </w:p>
    <w:p>
      <w:pPr>
        <w:pStyle w:val="5"/>
        <w:spacing w:before="0" w:after="0" w:line="360" w:lineRule="auto"/>
        <w:jc w:val="center"/>
        <w:outlineLvl w:val="2"/>
        <w:rPr>
          <w:rFonts w:hint="eastAsia" w:ascii="宋体" w:hAnsi="宋体" w:eastAsia="宋体" w:cs="宋体"/>
          <w:b/>
          <w:bCs/>
          <w:color w:val="auto"/>
          <w:kern w:val="44"/>
          <w:sz w:val="32"/>
          <w:szCs w:val="32"/>
          <w:highlight w:val="none"/>
          <w:lang w:val="en-US" w:eastAsia="zh-CN" w:bidi="ar-SA"/>
        </w:rPr>
      </w:pPr>
      <w:bookmarkStart w:id="197" w:name="_Toc11241"/>
      <w:bookmarkStart w:id="198" w:name="_Toc8491"/>
      <w:bookmarkStart w:id="199" w:name="_Toc21284"/>
      <w:bookmarkStart w:id="200" w:name="_Toc29765"/>
      <w:bookmarkStart w:id="201" w:name="_Toc31366"/>
      <w:bookmarkStart w:id="202" w:name="_Toc5450"/>
      <w:bookmarkStart w:id="203" w:name="_Toc17056"/>
      <w:bookmarkStart w:id="204" w:name="_Toc29204"/>
      <w:bookmarkStart w:id="205" w:name="_Toc31993"/>
      <w:bookmarkStart w:id="206" w:name="_Toc24285"/>
      <w:bookmarkStart w:id="207" w:name="_Toc24498"/>
      <w:bookmarkStart w:id="208" w:name="_Toc13944"/>
      <w:bookmarkStart w:id="209" w:name="_Toc21102"/>
      <w:r>
        <w:rPr>
          <w:rFonts w:hint="eastAsia" w:ascii="宋体" w:hAnsi="宋体" w:eastAsia="宋体" w:cs="宋体"/>
          <w:b/>
          <w:bCs/>
          <w:color w:val="auto"/>
          <w:kern w:val="44"/>
          <w:sz w:val="32"/>
          <w:szCs w:val="32"/>
          <w:highlight w:val="none"/>
          <w:lang w:val="en-US" w:eastAsia="zh-CN" w:bidi="ar-SA"/>
        </w:rPr>
        <w:t>第二节 分包工程施工组织设计编制基本要求</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分包工程中标单位编制的施工组织设计，其实质是中标单位向招标人作出的关于施工组织的综合承诺，是分包合同的组成部分。本文所述分包工程施工组织设计包括专业分包人投标时按招标要求编制的施工组织设计及中标后按工程承包人要求调整完善并获得批准的施工组织设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专业分包人编制施工组织设计前，应对拟建分包工程任务有全面且准确的理解和认知，要体现出专业分包人对拟建项目关键问题的把握，突出拟建项目分包工程施工技术难点和施工组织关键。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1.专业分包人必须认真、充分做好相关调查、并收集资料。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2.专业分包人应做好与工程承包人及业主方的充分沟通，明确相关要求。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专业分包人应满足工程承包人对工程实施提出的纲领性和指导性意见的要求。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专业分包人必须在执行国家及工程所在地行政主管部门发布与工程建设有关的法律、法规、规章及规范性文件，国家、行业现行标准和经济技术指标的前提下，满足工程承包人有关工程进度、质量、安全、环境保护、标准化工地及文明施工等各方面具体相关管理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分包工程施工组织设计应明确分包项目实施的重点、难点及制约因素，优化施工组织及施工方法，达到合理的技术经济指标，充分体现专业分包人在相应工程施工领域的核心竞争力及主要施工经验。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rPr>
        <w:t>分包工程施工组织设计应兼顾我方统筹，着眼全局，合理安排施工流程，科学组织流水及充分考虑项目其它施工作业需求，和谐立体交叉作业，有序均衡施工，提高项目施工组织总体效率、效果。</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鼓励专业分包人结合工程特点积极开发、使用先进实用技术和新工艺，加大新材料、新设备的推广应用，要求专业分包人在工程承包人推广应用“四新”技术时服从、配合，并积极参与工程承包人在该项目应用具体“四新”技术中相关工艺、工法、效率、效能、效果的系统实践及研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rPr>
        <w:t>分包工程施工组织设计编制依据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1.国家及工程所在地行政主管部门发布与工程建设有关的法律、法规、规章及规范性文件，国家、行业现行标准和经济技术指标。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2.工程发包文件及设计文件。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3.工程实施范围内及周边地区的现场条件，气象、工程地质、水文地质等自然条件（视具体分包工程内容、情况及我方要求）。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4.与分包工程相关的资源供给情况，分包单位的自身施工能力、技术装备水平、施工机械化状况。</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九、</w:t>
      </w:r>
      <w:r>
        <w:rPr>
          <w:rFonts w:hint="eastAsia" w:ascii="宋体" w:hAnsi="宋体" w:eastAsia="宋体" w:cs="宋体"/>
          <w:color w:val="auto"/>
          <w:szCs w:val="21"/>
          <w:highlight w:val="none"/>
        </w:rPr>
        <w:t>分包工程施工组织设计组成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1.项目总体概况、分包工程具体情况。</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2.分包工程施工总体部署及规划。</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3.分包工程施工现场平面布置（视具体分包工程内容、情况及我方要求，一些分包工程无需做平面布置）。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4.施工准备。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5.重点、难点分包项目施工技术方案。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6.新技术应用。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十、</w:t>
      </w:r>
      <w:r>
        <w:rPr>
          <w:rFonts w:hint="eastAsia" w:ascii="宋体" w:hAnsi="宋体" w:eastAsia="宋体" w:cs="宋体"/>
          <w:color w:val="auto"/>
          <w:szCs w:val="21"/>
          <w:highlight w:val="none"/>
        </w:rPr>
        <w:t>分包工程施工组织设计内容要求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1.项目总体概况、分包工程具体情况。</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分包工程</w:t>
      </w:r>
      <w:r>
        <w:rPr>
          <w:rFonts w:hint="eastAsia" w:ascii="宋体" w:hAnsi="宋体" w:eastAsia="宋体" w:cs="宋体"/>
          <w:color w:val="auto"/>
          <w:szCs w:val="21"/>
          <w:highlight w:val="none"/>
          <w:lang w:val="en-US" w:eastAsia="zh-CN"/>
        </w:rPr>
        <w:t>具体</w:t>
      </w:r>
      <w:r>
        <w:rPr>
          <w:rFonts w:hint="eastAsia" w:ascii="宋体" w:hAnsi="宋体" w:eastAsia="宋体" w:cs="宋体"/>
          <w:color w:val="auto"/>
          <w:szCs w:val="21"/>
          <w:highlight w:val="none"/>
        </w:rPr>
        <w:t>情况应包括分包工程概况、分包工程概算（投资估算）、现场条件、现状调查（技术调查）分析等内容。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分包工程概况应包括工程地理位置、承包范围、分包工程专业工程结构、构造形式（视具体分包工程内容、情况及我方要求）、主要工程量、合同协议要求等。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分包工程概算（投资估算）应包括工程概算（投资估算）组成及其相关说明（视具体分包工程情况及工程承包人要求）。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现场条件、现状调查（技术调查）应包括：</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分包项目施工区域内地形、气象、生态、工程地质、不良地质和水文地质状况及影响分析（视具体分包工程内容、情况及工程承包人要求）。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结构（线路纵、横断面）、构造物形式与现场实地调查情况及影响分析（视具体分包工程内容、情况及工程承包人要求）。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与项目实施有关的相邻地上、地下管线及构建筑物（林地、单位、居民区）、河流、道路及交通通行情况及影响分析（视具体分包工程内容、情况及工程承包人要求）。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土地征用范围和居民搬迁情况（视具体分包工程内容、情况及工程承包人要求）。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当地水、暖、电、通讯、建筑材料、主要设备、特殊物资、可利用资源等供应服务状况。</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建设单位与上级主管部门对施工的要求及有关建设项目的决议和协议。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其他与工程实施有关的主要影响因素。</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2.分包工程施工总体部署及规划</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2.1分包工程施工总体部署及规划应包括主要工程目标管理规划（含承诺及违约责任承诺）、组织机构、施工安排、进度计划及说明、资源配置、劳务分包计划。</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2.2主要工程目标管理规划包括进度目标管理、质量目标管理、安全和环境保护目标管理、标准化目标管理等，明确目标任务承诺及目标违约责任承诺，根据项目特点条件制定对应的主要保证措施。</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2.3组织机构设置应明确分包单位及驻现场机构（项目经理部）的组织机构及管理层级，明确各层级及岗位人员的责任分工，应采用组织结构图形式加辅助说明。</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2.4施工安排需根据分包项目特点及条件，划分施工阶段，确定施工顺序，合理高效利用资源，科学协调均衡施工。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进度计划应根据项目总控制工期要求及对分包项目的具体要求，合理确定施工阶段、单位工程的控制工期、施工进度关键节点、施工顺序和衔接关系，进度计划采用网络图或横道图及进度计划表等形式编制；文字说明根据施工单位自身的施工能力、机械化程度来分析达到工期的可行性及合理性。</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2.6资源配置选择过程中，应依据工程量、台班产量、劳动生产率（定额）、控制工期等做详细的计算，资源配置包括下列内容：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2.6.1劳动力配置、劳务队伍选择及分析说明（含相应的计算文件）。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2.6.2拟用施工机具、设备配置计划及符合性说明（含相应的计算文件）。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2.6.3拟用施工仪器、仪表配置计划及符合性说明（含相应的计算文件）。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施工现场平面布置（视具体分包工程情况及工程承包人要求）需依据工程项目施工影响范围内的地形、地貌、及拟建工程各阶段现场平面布局规划绘制布置图，并对完成施工任务的适应性及合理性进行说明；施工现场平面布置内容如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3.1生产区、生活区、办公区、临时驻地等各类设施建设方式及动态布置安排及分析说明。</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3.2确定临时便道、便桥的结构形式，并对现场交通组织形式进行简要说明。</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3.3根据工程量及施工安排，确定临时加工厂、材料、半成品堆放场、拌合站、机械停放场等辅助施工生产区域，并说明位置、面积及结构形式和运输路径。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3.4确定施工现场临时用水、临时用电布置安排，并进行相应的符合性说明（含相应的计算文件）。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3.5确定现场消防设施的配置并进行简要说明。</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4.施工准备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4.1施工准备根据分包工程施工确定物资、设备准备、劳动力准备、技术准备、资金准备、临时工程（电、水、便道、通讯、设施、场站、驻地、障碍拆迁）的安排计划。</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4.2技术准备包括技术资料及工程测量大纲等（视具体分包工程情况及我方要求）。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4.3资金准备包括资金需用或使用计划等，并结合图表形式分析说明。</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5.重点、难点项目施工技术方案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5.1重点、难点项目施工技术方案包括工程实施重点、难点分析说明及应对技术措施、项目实施的合理化建议。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5.2重点、难点分析说明应查找拟建分包工程的关键问题，明确拟建分包工程施工技术的难点、施工组织的重点，加以分析说明。</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5.3应对技术措施为拟建工程重点、难点（高、大、难、新施工部位、关键特殊过程、季节性施工、交通组织、成本控制等）的针对性施工方法（视具体分包工程情况及工程承包人要求）。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5.4分包工程项目实施的合理化建议应从确保全面实现项目总体目标出发，根据专业分包人实践经验和教训，就如何更好地加快施工进度、提高工程质量、节省投资、确保施工安全等方面提出合理化建议。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新技术应用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6.1专业分包人应说明所运用的适用新技术、新材料、新工艺、新设备，应用计划及效果。</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6.2实用新技术必须符合施工现场实际工作，具备先进性、实用性和可操作性的特点。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6.3要求专业分包人在工程承包人推广应用“四新”技术时服从、配合，并积极参与工程承包人在该项目应用具体“四新”技术中相关工艺、工法、效率、效能、效果的系统实践及研究。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十一、</w:t>
      </w:r>
      <w:r>
        <w:rPr>
          <w:rFonts w:hint="eastAsia" w:ascii="宋体" w:hAnsi="宋体" w:eastAsia="宋体" w:cs="宋体"/>
          <w:color w:val="auto"/>
          <w:szCs w:val="21"/>
          <w:highlight w:val="none"/>
        </w:rPr>
        <w:t>分包工程施工组织设计编制其它规定</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1.分包工程施工组织设计内容组成必须严格按本办法执行，应与招标要求的投标文件组卷统一装订成册，加盖专业分包人公章，法定代表人或其委托代理人签字。</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专业分包人应仔细阅读招标文件，所编制的分包工程施工组织设计要响应工程承包人的要求，做到简明扼要，突出目标，结合实际、满足招标文件的需要，实现施工组织设计与投标报价一体化，要具合理性、竞争性，体现专业分包人的实力。</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3.专业分包人编制的施工组织设计禁止照抄教材、规范，禁止用空洞的口号、保证，应重点突出、兼顾全面、结合实际、先进合理、语言简练、切忌繁杂。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4.提出合理化建议的，应通过对项目情况了解与分析，结合国家和地方相关环境保护、节能减排、可持续发展以及循环经济等方针政策的要求进行。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5.鼓励专业分包人使用多媒体和电脑软件（BIM、3D 模拟等）编制施工组织设计，达到简单、直观、真实的模拟整个施工过程的效果，三维动态施工组织设计时长应控制在 10 — 15 分钟。</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6.施工组织设计文本装帧为 A4 纸，正文字体采用宋体，小四号字，1.5 倍行距，一般不应超过 </w:t>
      </w:r>
      <w:r>
        <w:rPr>
          <w:rFonts w:hint="eastAsia" w:ascii="宋体" w:hAnsi="宋体" w:eastAsia="宋体" w:cs="宋体"/>
          <w:color w:val="auto"/>
          <w:szCs w:val="21"/>
          <w:highlight w:val="none"/>
          <w:lang w:val="en-US" w:eastAsia="zh-CN"/>
        </w:rPr>
        <w:t>100</w:t>
      </w:r>
      <w:r>
        <w:rPr>
          <w:rFonts w:hint="eastAsia" w:ascii="宋体" w:hAnsi="宋体" w:eastAsia="宋体" w:cs="宋体"/>
          <w:color w:val="auto"/>
          <w:szCs w:val="21"/>
          <w:highlight w:val="none"/>
        </w:rPr>
        <w:t xml:space="preserve">页，需要进行特别说明的最多不得超过 </w:t>
      </w:r>
      <w:r>
        <w:rPr>
          <w:rFonts w:hint="eastAsia" w:ascii="宋体" w:hAnsi="宋体" w:eastAsia="宋体" w:cs="宋体"/>
          <w:color w:val="auto"/>
          <w:szCs w:val="21"/>
          <w:highlight w:val="none"/>
          <w:lang w:val="en-US" w:eastAsia="zh-CN"/>
        </w:rPr>
        <w:t>120</w:t>
      </w:r>
      <w:r>
        <w:rPr>
          <w:rFonts w:hint="eastAsia" w:ascii="宋体" w:hAnsi="宋体" w:eastAsia="宋体" w:cs="宋体"/>
          <w:color w:val="auto"/>
          <w:szCs w:val="21"/>
          <w:highlight w:val="none"/>
        </w:rPr>
        <w:t xml:space="preserve"> 页；施工组织设计中所绘图纸必须符合相关制图标准，禁止出现照片、草图和示意图形式；施工进度计划、施工计算等，应采用工程软件进行绘制或计算。</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十二、</w:t>
      </w:r>
      <w:r>
        <w:rPr>
          <w:rFonts w:hint="eastAsia" w:ascii="宋体" w:hAnsi="宋体" w:eastAsia="宋体" w:cs="宋体"/>
          <w:color w:val="auto"/>
          <w:szCs w:val="21"/>
          <w:highlight w:val="none"/>
        </w:rPr>
        <w:t>为使科学、先进的施工组织设计发挥更好效益，云南建设投资控股集团有限公司所属各单位应将相应施工组织设计电子版（不可编辑）报至集团总工办，由集团总工办组织相关人员分析和归纳，整理并存档，统一编集定期发布，以便</w:t>
      </w:r>
      <w:r>
        <w:rPr>
          <w:rFonts w:hint="eastAsia" w:ascii="宋体" w:hAnsi="宋体" w:eastAsia="宋体" w:cs="宋体"/>
          <w:color w:val="auto"/>
          <w:szCs w:val="21"/>
          <w:highlight w:val="none"/>
          <w:lang w:eastAsia="zh-CN"/>
        </w:rPr>
        <w:t>集团内各单位相关人员</w:t>
      </w:r>
      <w:r>
        <w:rPr>
          <w:rFonts w:hint="eastAsia" w:ascii="宋体" w:hAnsi="宋体" w:eastAsia="宋体" w:cs="宋体"/>
          <w:color w:val="auto"/>
          <w:szCs w:val="21"/>
          <w:highlight w:val="none"/>
        </w:rPr>
        <w:t>学习、共享。</w:t>
      </w:r>
    </w:p>
    <w:p>
      <w:pPr>
        <w:pStyle w:val="5"/>
        <w:spacing w:before="0" w:after="0" w:line="360" w:lineRule="auto"/>
        <w:jc w:val="center"/>
        <w:outlineLvl w:val="2"/>
        <w:rPr>
          <w:rFonts w:hint="eastAsia" w:ascii="宋体" w:hAnsi="宋体" w:eastAsia="宋体" w:cs="宋体"/>
          <w:bCs w:val="0"/>
          <w:color w:val="auto"/>
          <w:sz w:val="24"/>
          <w:szCs w:val="24"/>
          <w:highlight w:val="none"/>
        </w:rPr>
      </w:pPr>
      <w:r>
        <w:rPr>
          <w:rFonts w:hint="eastAsia" w:ascii="宋体" w:hAnsi="宋体" w:eastAsia="宋体" w:cs="宋体"/>
          <w:bCs w:val="0"/>
          <w:color w:val="auto"/>
          <w:sz w:val="28"/>
          <w:szCs w:val="28"/>
          <w:highlight w:val="none"/>
        </w:rPr>
        <w:br w:type="page"/>
      </w:r>
      <w:bookmarkStart w:id="210" w:name="_Toc18474"/>
      <w:bookmarkStart w:id="211" w:name="_Toc32034"/>
      <w:r>
        <w:rPr>
          <w:rFonts w:hint="eastAsia" w:ascii="宋体" w:hAnsi="宋体" w:eastAsia="宋体" w:cs="宋体"/>
          <w:b/>
          <w:bCs/>
          <w:color w:val="auto"/>
          <w:kern w:val="44"/>
          <w:sz w:val="32"/>
          <w:szCs w:val="32"/>
          <w:highlight w:val="none"/>
          <w:lang w:val="en-US" w:eastAsia="zh-CN" w:bidi="ar-SA"/>
        </w:rPr>
        <w:t>第三节 合同结算管理要求</w:t>
      </w:r>
      <w:bookmarkEnd w:id="210"/>
      <w:bookmarkEnd w:id="211"/>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合同结算条件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过程结算</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1.1当月的工作内容按要求完成且出现的问题根据具体情况已明确责任、处理方法并已按要求处理完毕。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1.2专业分包人在规定时间内按要求报送当期结算，同时所附资料齐全。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最终结算</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2.1合同约定的全部工作内容已经完成，且整个项目竣工验收合格。</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2.2工程遗留问题已明确</w:t>
      </w:r>
      <w:r>
        <w:rPr>
          <w:rFonts w:hint="eastAsia" w:ascii="宋体" w:hAnsi="宋体" w:eastAsia="宋体" w:cs="宋体"/>
          <w:color w:val="auto"/>
          <w:szCs w:val="21"/>
          <w:highlight w:val="none"/>
          <w:lang w:val="en-US" w:eastAsia="zh-CN"/>
        </w:rPr>
        <w:t>责任、</w:t>
      </w:r>
      <w:r>
        <w:rPr>
          <w:rFonts w:hint="eastAsia" w:ascii="宋体" w:hAnsi="宋体" w:eastAsia="宋体" w:cs="宋体"/>
          <w:color w:val="auto"/>
          <w:szCs w:val="21"/>
          <w:highlight w:val="none"/>
        </w:rPr>
        <w:t>处理方法并已</w:t>
      </w:r>
      <w:r>
        <w:rPr>
          <w:rFonts w:hint="eastAsia" w:ascii="宋体" w:hAnsi="宋体" w:eastAsia="宋体" w:cs="宋体"/>
          <w:color w:val="auto"/>
          <w:szCs w:val="21"/>
          <w:highlight w:val="none"/>
          <w:lang w:val="en-US" w:eastAsia="zh-CN"/>
        </w:rPr>
        <w:t>按要求</w:t>
      </w:r>
      <w:r>
        <w:rPr>
          <w:rFonts w:hint="eastAsia" w:ascii="宋体" w:hAnsi="宋体" w:eastAsia="宋体" w:cs="宋体"/>
          <w:color w:val="auto"/>
          <w:szCs w:val="21"/>
          <w:highlight w:val="none"/>
        </w:rPr>
        <w:t>处理完毕。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2.3专业分包人申报结算符合编制要求，同时所附资料齐全。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结算书的上报及接收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结算书上报时间要求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1.1过程结算</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专业分包合同应按月办理过程结算，专业分包人应于每月</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20</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日前向工程承包人报送当月结算申请并附详细的支撑资料，结算周期为上月21日至本月20日。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注：过程结算工作内容必须与工程现场实际进度相匹配。</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1.2最终结算</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最终结算要求专业分包人在工程完工并整个项目竣工验收合格后的14个日历天（或按合同专用条款具体约定）内上报（含必要的结算资料）。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结算资料上报要求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2.1专业分包人报送专业分包工程结算时必须使用统一格式的《专业分包工程结算单》并附相关支撑资料，同时加盖专业分包人公司公章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结算专用章或项目专用章（最终结算必须加盖公司公章</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结算专用章）。</w:t>
      </w:r>
      <w:r>
        <w:rPr>
          <w:rFonts w:hint="eastAsia" w:ascii="宋体" w:hAnsi="宋体" w:eastAsia="宋体" w:cs="宋体"/>
          <w:b/>
          <w:bCs/>
          <w:color w:val="auto"/>
          <w:szCs w:val="21"/>
          <w:highlight w:val="none"/>
        </w:rPr>
        <w:t>要求：</w:t>
      </w:r>
      <w:r>
        <w:rPr>
          <w:rFonts w:hint="eastAsia" w:ascii="宋体" w:hAnsi="宋体" w:eastAsia="宋体" w:cs="宋体"/>
          <w:color w:val="auto"/>
          <w:szCs w:val="21"/>
          <w:highlight w:val="none"/>
        </w:rPr>
        <w:t>当月发生的工程量必须当月进行结算，专业分包人逾期不报其发生的工程量延至下期一并上报，因专业分包人未按时上报产生的一切后果由专业分包人自行承担。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2.2专业分包结算单必须附现场工程量确认单/收方单，如无签字确认的现场工程量确认单/收方单则该部分工程量不予计量。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2.3结算中应涵盖按专业分包合同约定的安全文明施工、质量、进度等的奖罚体现，并附安全文明施工、质量、进度等奖罚单。</w:t>
      </w:r>
    </w:p>
    <w:p>
      <w:pPr>
        <w:rPr>
          <w:rFonts w:hint="eastAsia" w:ascii="宋体" w:hAnsi="宋体" w:eastAsia="宋体" w:cs="宋体"/>
          <w:color w:val="auto"/>
          <w:highlight w:val="none"/>
        </w:rPr>
      </w:pPr>
      <w:r>
        <w:rPr>
          <w:rFonts w:hint="eastAsia" w:ascii="宋体" w:hAnsi="宋体" w:eastAsia="宋体" w:cs="宋体"/>
          <w:color w:val="auto"/>
          <w:highlight w:val="none"/>
        </w:rPr>
        <w:t xml:space="preserve">    2.4专业分包结算时，工程承包人应按月扣除分包人当月领用甲供料金额。</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专业分包过程结算：若所提供的资料不完整、不准确、不详细时，专业分包人应及时进行补充、完善并在规定时限内重新申报，确保所报进度资料真实有效；若需到现场核实当月进度，专业分包人应积极配合并提供相应的协助。若施工过程中分包单价发生变更，则必须经由工程承包人项目部向直管部/分公司以及公司主管部门提出申请（须附变更有效依据），经核实批准后，办理分包合同补充协议,变更方为有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专业分包最终结算：专业分包人应在规定时间内完成最终结算（含必要的结算资料）的报送工作。并递交结算承诺书,承诺书应明确专业分包人结算报送资料真实有效、合法、完整、无漏报、不高估冒算、审减率控制在工程承包人规定范围内。若超出审减率范围则</w:t>
      </w:r>
      <w:r>
        <w:rPr>
          <w:rFonts w:hint="eastAsia" w:ascii="宋体" w:hAnsi="宋体" w:eastAsia="宋体" w:cs="宋体"/>
          <w:color w:val="auto"/>
          <w:szCs w:val="21"/>
          <w:highlight w:val="none"/>
          <w:lang w:val="en-US" w:eastAsia="zh-CN"/>
        </w:rPr>
        <w:t>专业分包人</w:t>
      </w:r>
      <w:r>
        <w:rPr>
          <w:rFonts w:hint="eastAsia" w:ascii="宋体" w:hAnsi="宋体" w:eastAsia="宋体" w:cs="宋体"/>
          <w:color w:val="auto"/>
          <w:szCs w:val="21"/>
          <w:highlight w:val="none"/>
        </w:rPr>
        <w:t>自愿承担超出审减率部分的审计费用。最终结算签字确认后专业分包人再次提交的结算工程量将不予认可，由此产生的损失由专业分包人自行承担。同时专业分包人必须按工程承包人统一要求、安排</w:t>
      </w:r>
      <w:r>
        <w:rPr>
          <w:rFonts w:hint="eastAsia" w:ascii="宋体" w:hAnsi="宋体" w:eastAsia="宋体" w:cs="宋体"/>
          <w:color w:val="auto"/>
          <w:szCs w:val="21"/>
          <w:highlight w:val="none"/>
          <w:lang w:val="en-US" w:eastAsia="zh-CN"/>
        </w:rPr>
        <w:t>配合工程承包人</w:t>
      </w:r>
      <w:r>
        <w:rPr>
          <w:rFonts w:hint="eastAsia" w:ascii="宋体" w:hAnsi="宋体" w:eastAsia="宋体" w:cs="宋体"/>
          <w:color w:val="auto"/>
          <w:szCs w:val="21"/>
          <w:highlight w:val="none"/>
        </w:rPr>
        <w:t>开展对业主方的结算工作。</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专业分包人还需结合设计图纸和分包合同情况建立：设计变更台账、签证台帐、新增单价台帐等，施工过程中配合工程承包人项目部或业务管理部门系统收集索赔资料及高质量办理经济签证，对分包工程资料（图纸会审纪要、工程竣工图及施工图纸、变更修改图纸及电子文档，项目施工专项方案，工期延期联系单、与发包（业主）、监理往来工作联系函，会议纪要、工程洽商记录、设计变更通知单、施工变更签证（对调增、调减进行汇总）、隐蔽工程验收记录、材料设备单价呈批审核单、工程量计算书及电子档（即计算底稿）、工程数量台帐、其他有关影响工程造价、工期等资料原件）进行收集归档并于分包项目完工时移交工程承包人项目部或业务管理部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结算资料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3.1《建设工程施工专业分包合同》及其补充协议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3.2专业分包结算单/结算书</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3.3签章完善的签证等资料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3.4现场工程量确认单/收方单及工程量计算书</w:t>
      </w:r>
    </w:p>
    <w:p>
      <w:pPr>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Cs w:val="21"/>
          <w:highlight w:val="none"/>
        </w:rPr>
        <w:t xml:space="preserve"> 3.5甲供料领用结算单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3.6安全文明施工、质量、进度、材料等奖罚资料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3.7工程竣工图、项目施工专项方案、设计变更、联系单等资料</w:t>
      </w:r>
    </w:p>
    <w:p>
      <w:pPr>
        <w:bidi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注：结算资料中若存在签章不全或资料缺失时，该部分资料均不能作为结算依据，由此带来的影响和造成的损失由劳务分包人自行承担。</w:t>
      </w:r>
    </w:p>
    <w:p>
      <w:pPr>
        <w:pStyle w:val="5"/>
        <w:spacing w:before="0" w:after="0" w:line="360" w:lineRule="auto"/>
        <w:jc w:val="center"/>
        <w:outlineLvl w:val="2"/>
        <w:rPr>
          <w:rFonts w:hint="eastAsia" w:ascii="宋体" w:hAnsi="宋体" w:eastAsia="宋体" w:cs="宋体"/>
          <w:bCs w:val="0"/>
          <w:color w:val="auto"/>
          <w:sz w:val="24"/>
          <w:szCs w:val="24"/>
          <w:highlight w:val="none"/>
        </w:rPr>
      </w:pPr>
      <w:r>
        <w:rPr>
          <w:rFonts w:hint="eastAsia" w:ascii="宋体" w:hAnsi="宋体" w:eastAsia="宋体" w:cs="宋体"/>
          <w:bCs w:val="0"/>
          <w:color w:val="auto"/>
          <w:sz w:val="28"/>
          <w:szCs w:val="28"/>
          <w:highlight w:val="none"/>
        </w:rPr>
        <w:br w:type="page"/>
      </w:r>
      <w:bookmarkStart w:id="212" w:name="_Toc3876"/>
      <w:bookmarkStart w:id="213" w:name="_Toc24906"/>
      <w:r>
        <w:rPr>
          <w:rFonts w:hint="eastAsia" w:ascii="宋体" w:hAnsi="宋体" w:eastAsia="宋体" w:cs="宋体"/>
          <w:b/>
          <w:bCs/>
          <w:color w:val="auto"/>
          <w:kern w:val="44"/>
          <w:sz w:val="32"/>
          <w:szCs w:val="32"/>
          <w:highlight w:val="none"/>
          <w:lang w:val="en-US" w:eastAsia="zh-CN" w:bidi="ar-SA"/>
        </w:rPr>
        <w:t>第四节 合同签证管理要求</w:t>
      </w:r>
      <w:bookmarkEnd w:id="212"/>
      <w:bookmarkEnd w:id="213"/>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合同签证管理规定</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 xml:space="preserve">合同签证管理必须遵循按月审核量价原则、一月一清原则、完工确认原则。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 xml:space="preserve">现场签证单必须经相关部门签字后方可视为有效签证，未经审核签字、签字不齐全的签证为无效签证。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在签证实施过程中，专业分包人必须通知工程承包人项目部，同时填报现场签证原始记录表。现场签证内容完工并验收合格后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个工作日内，专业分包人必须将完整的签证资料上报工程承包人项目部，需向发包人提交的签证资料，由工程承包人统一办理。专业分包人超过规定时限补签的签证单无效，工程承包人将不再受理。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 xml:space="preserve">现场签证单、现场签证原始记录表、现场签证完工确认单、现场签证附图等涉及计量依据的资料不得以复印件作为结算资料，其他附件若无原件的，复印件经相关人员核对确认后可作参考资料作为结算依据。现场签证附图必须经双方签章确认。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签证的估价金额超过原合同总价（含暂定总价）的</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%且大于</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元，或金额超过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元时应签订补充协议或合同，不能以现场签证形式结算。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 w:val="21"/>
          <w:szCs w:val="21"/>
          <w:highlight w:val="none"/>
        </w:rPr>
        <w:t>合同外新增工程，</w:t>
      </w:r>
      <w:r>
        <w:rPr>
          <w:rFonts w:hint="eastAsia" w:ascii="宋体" w:hAnsi="宋体" w:eastAsia="宋体" w:cs="宋体"/>
          <w:color w:val="auto"/>
          <w:sz w:val="21"/>
          <w:szCs w:val="21"/>
          <w:highlight w:val="none"/>
          <w:lang w:val="en-US" w:eastAsia="zh-CN"/>
        </w:rPr>
        <w:t>原则上不允许办理现场签证。当合同外新增工程估价金额超过原合同总价（含暂定总价）的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%且</w:t>
      </w:r>
      <w:r>
        <w:rPr>
          <w:rFonts w:hint="eastAsia" w:ascii="宋体" w:hAnsi="宋体" w:eastAsia="宋体" w:cs="宋体"/>
          <w:color w:val="auto"/>
          <w:sz w:val="21"/>
          <w:szCs w:val="21"/>
          <w:highlight w:val="none"/>
          <w:lang w:val="en-US" w:eastAsia="zh-CN"/>
        </w:rPr>
        <w:t>大于</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或金额超过</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val="en-US" w:eastAsia="zh-CN"/>
        </w:rPr>
        <w:t>时，</w:t>
      </w:r>
      <w:r>
        <w:rPr>
          <w:rFonts w:hint="eastAsia" w:ascii="宋体" w:hAnsi="宋体" w:eastAsia="宋体" w:cs="宋体"/>
          <w:color w:val="auto"/>
          <w:sz w:val="21"/>
          <w:szCs w:val="21"/>
          <w:highlight w:val="none"/>
        </w:rPr>
        <w:t>应另行签订补充协议或按相关规定通过招投标的方式确定单位。</w:t>
      </w:r>
      <w:r>
        <w:rPr>
          <w:rFonts w:hint="eastAsia" w:ascii="宋体" w:hAnsi="宋体" w:eastAsia="宋体" w:cs="宋体"/>
          <w:color w:val="auto"/>
          <w:szCs w:val="21"/>
          <w:highlight w:val="none"/>
        </w:rPr>
        <w:t>如：新增装修范围工程</w:t>
      </w:r>
      <w:r>
        <w:rPr>
          <w:rFonts w:hint="eastAsia" w:ascii="宋体" w:hAnsi="宋体" w:eastAsia="宋体" w:cs="宋体"/>
          <w:color w:val="auto"/>
          <w:szCs w:val="21"/>
          <w:highlight w:val="none"/>
          <w:lang w:val="en-US" w:eastAsia="zh-CN"/>
        </w:rPr>
        <w:t>等</w:t>
      </w:r>
      <w:r>
        <w:rPr>
          <w:rFonts w:hint="eastAsia" w:ascii="宋体" w:hAnsi="宋体" w:eastAsia="宋体" w:cs="宋体"/>
          <w:color w:val="auto"/>
          <w:szCs w:val="21"/>
          <w:highlight w:val="none"/>
        </w:rPr>
        <w:t xml:space="preserve">。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现场签证单的签署流程及说明</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现场签证单的签署流程：现场签证内容完工并验收合格后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工作日内由专业分包人负责人计算工程量并填报签证资料→项目工程部复核工程量并签字→项目技术部复核工程量并签字→项目成本部复核工程量及单价并签字→项目经理审核并签字→直管部主任经济师、经理审核并签字→公司分包主管部门审核并签字→公司总经济师审核并签字→公司总经理审核并签字（单项签证工程的估价在</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元以下的由项目部确认即可；</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元以上</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元以下的由项目部、直管部确认即可；</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元以上</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元以下由公司总经济师审批；</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元以上由公司总经理审批）。</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现场签证单签署流程各单位</w:t>
      </w:r>
      <w:r>
        <w:rPr>
          <w:rFonts w:hint="eastAsia" w:ascii="宋体" w:hAnsi="宋体" w:eastAsia="宋体" w:cs="宋体"/>
          <w:b w:val="0"/>
          <w:bCs w:val="0"/>
          <w:color w:val="auto"/>
          <w:highlight w:val="none"/>
          <w:lang w:val="en-US" w:eastAsia="zh-CN"/>
        </w:rPr>
        <w:t>可根据具体情况进行调整，但需与本篇第十二章相关管理用表的相关内容保持一致）</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工程承包人项目部及公司在签认前须认真核对签证工程的实施时间、工作内容、工程量、工程单价等内容，对发生签证的原因应详尽。</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 xml:space="preserve">禁止弄虚作假，所有签证经办人员必须检查确认签证工程质量合格后才能签认，无经办人员确认签字的签证单为无效签证。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 xml:space="preserve">工程量的确认按以下原则执行：签证工程可通过图纸准确反映工程量的，应以图纸反映，不得签证数量；能在竣工图反映的在竣工图中反映，不再签证；竣工图无法反映的以签证形式确认。严禁出现签证单和竣工图出现重复内容的情况。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4.1工程量能通过图纸准确反映的，相关部门应对签证附图进行双签确认，在签证单中签署的意见为“工程量按附图计算”。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4.2对工程量无法通过图纸准确计量的，工程承包人项目工程部必须在现场签证单或签证原始记录表上逐条加注审核意见，不得简化为“同意”、“情况属实”或其他估计数量等词语进行签认，必须按实计量后签字确认。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4.3对土石方工程签证，原则上不能直接签认土石方工程量，</w:t>
      </w:r>
      <w:r>
        <w:rPr>
          <w:rFonts w:hint="eastAsia" w:ascii="宋体" w:hAnsi="宋体" w:eastAsia="宋体" w:cs="宋体"/>
          <w:color w:val="auto"/>
          <w:sz w:val="21"/>
          <w:szCs w:val="21"/>
          <w:highlight w:val="none"/>
        </w:rPr>
        <w:t>要求绘制方格网图</w:t>
      </w:r>
      <w:r>
        <w:rPr>
          <w:rFonts w:hint="eastAsia" w:ascii="宋体" w:hAnsi="宋体" w:eastAsia="宋体" w:cs="宋体"/>
          <w:color w:val="auto"/>
          <w:sz w:val="21"/>
          <w:szCs w:val="21"/>
          <w:highlight w:val="none"/>
          <w:lang w:val="en-US" w:eastAsia="zh-CN"/>
        </w:rPr>
        <w:t>或示意图（单次土石方工程工程量超过</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m</w:t>
      </w:r>
      <w:r>
        <w:rPr>
          <w:rFonts w:hint="eastAsia" w:ascii="宋体" w:hAnsi="宋体" w:eastAsia="宋体" w:cs="宋体"/>
          <w:color w:val="auto"/>
          <w:sz w:val="21"/>
          <w:szCs w:val="21"/>
          <w:highlight w:val="none"/>
          <w:u w:val="none"/>
          <w:vertAlign w:val="superscript"/>
          <w:lang w:val="en-US" w:eastAsia="zh-CN"/>
        </w:rPr>
        <w:t>3</w:t>
      </w:r>
      <w:r>
        <w:rPr>
          <w:rFonts w:hint="eastAsia" w:ascii="宋体" w:hAnsi="宋体" w:eastAsia="宋体" w:cs="宋体"/>
          <w:color w:val="auto"/>
          <w:sz w:val="21"/>
          <w:szCs w:val="21"/>
          <w:highlight w:val="none"/>
          <w:u w:val="none"/>
          <w:lang w:val="en-US" w:eastAsia="zh-CN"/>
        </w:rPr>
        <w:t>时，必须绘制方格网图</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Cs w:val="21"/>
          <w:highlight w:val="none"/>
        </w:rPr>
        <w:t>。土石方工程方格网图标高必须由专业分包人、工程承包人项目部双方共同测量绘制并签字确认，工程承包人项目部应及时通知项目总工/技术负责人及测量员进行复核。需要发包人参与及确认的，应由发包人、工程承包人、专业分包人三方共同复核确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 xml:space="preserve">需要现场测量、计算的工程签证及见证签证，原则上要求工程承包人 2 个部门以上人员参加，测量与复核由不同人员操作。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xml:space="preserve">施工完成后因发包人原因修改设计导致的返工只签返工前完成的工作，返工后完成的工作在设计变更中反映。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 xml:space="preserve">隐蔽工程签证必须在其覆盖前完成签证工程量确认，同时应按隐蔽工程验收要求进行签认，隐蔽工程签证因未在覆盖前办理工程量确认及验收手续的不予结算。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签证单价以双方签订的《建设工程施工专业分包合同》为依据进行计算确认。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有效的签证单必须包含现场签证意向申请单、现场签证单、现场签证原始记录表、现场签证完工确认单、现场签证工程量计算书、现场签证附图、签证有关的现场相关照片，上述资料均应为原件。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其他</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 xml:space="preserve">严禁工程承包人项目部为降低单个现场签证额度人为将整体工程拆分进行签证。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工程承包人项目管理人员不得以专业分包人不听指挥等为由，人为积压签证，防止因时间拖延导致签证内容的真实性无法得到证实。</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由于专业分包人通知不及时导致工程承包人无法对签证内容进行核实的，或者专业分包人有意不等工程承包人到现场确认便将签证内容进行掩埋，拆除，覆盖等的，工程承包人可以拒绝签证。</w:t>
      </w:r>
    </w:p>
    <w:p>
      <w:pPr>
        <w:pStyle w:val="5"/>
        <w:spacing w:before="0" w:after="0" w:line="360" w:lineRule="auto"/>
        <w:jc w:val="center"/>
        <w:outlineLvl w:val="2"/>
        <w:rPr>
          <w:rFonts w:hint="eastAsia" w:ascii="宋体" w:hAnsi="宋体" w:eastAsia="宋体" w:cs="宋体"/>
          <w:bCs w:val="0"/>
          <w:color w:val="auto"/>
          <w:sz w:val="24"/>
          <w:szCs w:val="24"/>
          <w:highlight w:val="none"/>
        </w:rPr>
      </w:pPr>
      <w:bookmarkStart w:id="214" w:name="_Toc1757"/>
      <w:bookmarkStart w:id="215" w:name="_Toc15007"/>
      <w:r>
        <w:rPr>
          <w:rFonts w:hint="eastAsia" w:ascii="宋体" w:hAnsi="宋体" w:eastAsia="宋体" w:cs="宋体"/>
          <w:b/>
          <w:bCs/>
          <w:color w:val="auto"/>
          <w:kern w:val="44"/>
          <w:sz w:val="32"/>
          <w:szCs w:val="32"/>
          <w:highlight w:val="none"/>
          <w:lang w:val="en-US" w:eastAsia="zh-CN" w:bidi="ar-SA"/>
        </w:rPr>
        <w:t>第五节 合同甲供料管理要求</w:t>
      </w:r>
      <w:bookmarkEnd w:id="214"/>
      <w:bookmarkEnd w:id="215"/>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供应量及供货计划</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供应量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1.1甲供材料用量是按合同图纸计算的工程量加上合理的损耗量组成；各种甲供材料的合理损耗量/损耗率在招标过程中给予确定。</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甲供材料清单作为工程合同的一部分，应列明甲供材料名称、损耗率等。本文所称甲供料包括由发包人、工程承包人向专业分包人提供的材料、设备、构配件等，其中由发包人提供的甲供料，须经由工程承包人统一办理相关手续后，调拔至专业分包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供货计划</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专业分包人应在接到图纸后规定时间内，向工程承包人提交准确的材料、设备、构配件总需计划，经确认后，工程承包人应按总需计划要求的质量、品种、规格、型号、数量和预计供应时间等组织货源或将需求计划报至发包人；甲供料具体使用时，专业分包人还应向工程承包人提交准确的批次使用计划，工程承包人根据批次使用计划的具体要求组织货源并及时交付。需要专业分包人运输、卸车的，专业分包人必须及时进行，费用另行约定。如质量、品种、规格、型号不符合要求，专业分包人应在验收时提出，工程承包人负责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因供应计划不准确造成物资过剩的，如合同未作规定，则工程承包人不负责剩余物资退货；因供应计划不准确造成物资供应不足的，专业分包人可继续向工程承包人项目部申报需求计划，但因物资供应延迟导致工期延误的责任由专业分包人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2.3因设计变更导致物资用量增减的，专业分包人应在收到变更指示后的一周内向工程承包人项目部发出物资增减请示并调整甲供料总需计划，延误责任依据合同相应条款执行。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验收、接收及看管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验收及接收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1.1材料在进场或入库前，必须经过专业分包人材料负责人验收，若因专业分包人未对材料进行检查导致出现问题，由专业分包人自行承担。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1.2专业分包人使用材料时，若发现下述现象，应暂停使用，并立即报告工程承包人项目部：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1.2.1材料质量存有疑问。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1.2.2材料的规格、系列、颜色等与采购合同不符。</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1.2.3材料实际数量少于包装所示数量。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工程承包人项目部收到上述报告后，应立即给予解答或检查。反映现象属实的，由工程承包人确认原因及责任人，造成工期延误的，由责任人负责赔偿造成的损失。如部分物资存在上述现象之一或数种的，专业分包人应优先使用合格物资，减少对工期的影响。</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1.2.5专业分包人应先行收集整理技术资料，在竣工后或交付工程承包人使用时编制竣工资料或将原始资料移交发包人。专业分包人应自存一份验收、接收凭据，以备与工程承包人项目部核对并结算物资数量。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物资的看管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专业分包人应妥善保管、合理使用工程承包人供应的材料、设备。因保管不善发生丢失、损坏，专业分包人应赔偿，并承担因此造成的工期延误等发生的一切经济损失。</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物资发放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凡属分包合同中约定的专业分包人自购材料不再另开领料单重复领用。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工程承包人根据工程分包合同向专业分包人提供的物资仅供专业分包人使用，未经工程承包人项目部同意，专业分包人将甲供料提供给他人使用的，工程承包人项目部将双倍计价，并抵扣工程款。属专业分包人倒卖甲供料，尚未抵扣工程款的，专业分包人应承担法律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专业分包人使用物资，使用、安装需要技术指导的，由工程承包人项目部安排供应商现场指导。因专业分包人使用或操作不当造成物资损坏的，工程承包人项目部不负责退换。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分包领料结算及节超管理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分包领料结算</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专业分包人应按月与工程承包人项目部办理当月甲供料领用结算并在分包工程结算中予以扣除。若专业分包人不及时与工程承包人项目部进行核对的则以项目部统计金额为准，相关责任由专业分包人自行承担。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甲供物资节超管理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专业分包人</w:t>
      </w:r>
      <w:r>
        <w:rPr>
          <w:rFonts w:hint="eastAsia" w:ascii="宋体" w:hAnsi="宋体" w:eastAsia="宋体" w:cs="宋体"/>
          <w:color w:val="auto"/>
          <w:sz w:val="21"/>
          <w:szCs w:val="21"/>
          <w:highlight w:val="none"/>
          <w:lang w:eastAsia="zh-CN"/>
        </w:rPr>
        <w:t>必须足额且在目标控制用量范围内领用和使用</w:t>
      </w:r>
      <w:r>
        <w:rPr>
          <w:rFonts w:hint="eastAsia" w:ascii="宋体" w:hAnsi="宋体" w:eastAsia="宋体" w:cs="宋体"/>
          <w:color w:val="auto"/>
          <w:sz w:val="21"/>
          <w:szCs w:val="21"/>
          <w:highlight w:val="none"/>
          <w:lang w:val="en-US" w:eastAsia="zh-CN"/>
        </w:rPr>
        <w:t>材料</w:t>
      </w:r>
      <w:r>
        <w:rPr>
          <w:rFonts w:hint="eastAsia" w:ascii="宋体" w:hAnsi="宋体" w:eastAsia="宋体" w:cs="宋体"/>
          <w:color w:val="auto"/>
          <w:sz w:val="21"/>
          <w:szCs w:val="21"/>
          <w:highlight w:val="none"/>
          <w:lang w:eastAsia="zh-CN"/>
        </w:rPr>
        <w:t>。针对超额领用（或耗用）的部分，由</w:t>
      </w:r>
      <w:r>
        <w:rPr>
          <w:rFonts w:hint="eastAsia" w:ascii="宋体" w:hAnsi="宋体" w:eastAsia="宋体" w:cs="宋体"/>
          <w:color w:val="auto"/>
          <w:sz w:val="21"/>
          <w:szCs w:val="21"/>
          <w:highlight w:val="none"/>
          <w:lang w:val="en-US" w:eastAsia="zh-CN"/>
        </w:rPr>
        <w:t>专业分包人</w:t>
      </w:r>
      <w:r>
        <w:rPr>
          <w:rFonts w:hint="eastAsia" w:ascii="宋体" w:hAnsi="宋体" w:eastAsia="宋体" w:cs="宋体"/>
          <w:color w:val="auto"/>
          <w:sz w:val="21"/>
          <w:szCs w:val="21"/>
          <w:highlight w:val="none"/>
          <w:lang w:eastAsia="zh-CN"/>
        </w:rPr>
        <w:t>按原价的</w:t>
      </w:r>
      <w:r>
        <w:rPr>
          <w:rFonts w:hint="eastAsia" w:ascii="宋体" w:hAnsi="宋体" w:eastAsia="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两</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倍赔偿。</w:t>
      </w:r>
    </w:p>
    <w:p>
      <w:pPr>
        <w:spacing w:line="360" w:lineRule="auto"/>
        <w:ind w:firstLine="420" w:firstLineChars="200"/>
        <w:rPr>
          <w:rFonts w:hint="eastAsia" w:ascii="宋体" w:hAnsi="宋体" w:eastAsia="宋体" w:cs="宋体"/>
          <w:color w:val="auto"/>
          <w:szCs w:val="21"/>
          <w:highlight w:val="none"/>
        </w:rPr>
      </w:pPr>
    </w:p>
    <w:p>
      <w:pPr>
        <w:pStyle w:val="11"/>
        <w:rPr>
          <w:rFonts w:hint="eastAsia" w:ascii="宋体" w:hAnsi="宋体" w:eastAsia="宋体" w:cs="宋体"/>
          <w:color w:val="auto"/>
          <w:highlight w:val="none"/>
        </w:rPr>
      </w:pPr>
    </w:p>
    <w:p>
      <w:pPr>
        <w:pStyle w:val="5"/>
        <w:spacing w:before="0" w:after="0" w:line="360" w:lineRule="auto"/>
        <w:jc w:val="center"/>
        <w:outlineLvl w:val="2"/>
        <w:rPr>
          <w:rFonts w:hint="eastAsia" w:ascii="宋体" w:hAnsi="宋体" w:eastAsia="宋体" w:cs="宋体"/>
          <w:bCs w:val="0"/>
          <w:color w:val="auto"/>
          <w:sz w:val="24"/>
          <w:szCs w:val="24"/>
          <w:highlight w:val="none"/>
        </w:rPr>
      </w:pPr>
      <w:r>
        <w:rPr>
          <w:rFonts w:hint="eastAsia" w:ascii="宋体" w:hAnsi="宋体" w:eastAsia="宋体" w:cs="宋体"/>
          <w:bCs w:val="0"/>
          <w:color w:val="auto"/>
          <w:sz w:val="28"/>
          <w:szCs w:val="28"/>
          <w:highlight w:val="none"/>
        </w:rPr>
        <w:br w:type="page"/>
      </w:r>
      <w:bookmarkStart w:id="216" w:name="_Toc24936"/>
      <w:bookmarkStart w:id="217" w:name="_Toc13107"/>
      <w:r>
        <w:rPr>
          <w:rFonts w:hint="eastAsia" w:ascii="宋体" w:hAnsi="宋体" w:eastAsia="宋体" w:cs="宋体"/>
          <w:b/>
          <w:bCs/>
          <w:color w:val="auto"/>
          <w:kern w:val="44"/>
          <w:sz w:val="32"/>
          <w:szCs w:val="32"/>
          <w:highlight w:val="none"/>
          <w:lang w:val="en-US" w:eastAsia="zh-CN" w:bidi="ar-SA"/>
        </w:rPr>
        <w:t>第六节 财务管理要求</w:t>
      </w:r>
      <w:bookmarkEnd w:id="216"/>
      <w:bookmarkEnd w:id="217"/>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专业分包人与工程承包人合作过程中，财务业务往来及办理等必须遵守相关法律法规及云南省建设投资控股集团有限公司相关规定，违反规定会有违纪违法风险，专业分包人及工程承包人相关人员均必须严格遵守，违反法律法规、规章制度致不良后果的，专业分包人及其相关工作人员、工程承包人相关工作人员均必须依法依规承担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严禁将专业分包人业务款项付至个人银行账户（根据协议及完整有效资料代付农民工工资除外）。</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所有资金支付业务均应附有能够反映经济业务全貌的原始单据，严禁无合同、无结算、无资金支付计划、无相关业务资料或根据无实质业务资料支撑发票对专业分包人支付款项。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所有分包项目资金支付业务严格执行“三统一”付款原则，即合同单位、发票开具单位、资金流向单位完全一致。</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增值税发票开具要求：项目齐全，与实际交易相符、字迹清楚，不得压线/错格、相关联次加盖发票专用章、按照增值税纳税义务发生时间开具，对于不符合上述要求的专用发票，我方有权拒收。</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rPr>
        <w:t>分包工程款支付比例原则上不超过工程承包人与发包人签订的支付比例，同时分包合同未签订不给予付款、</w:t>
      </w:r>
      <w:r>
        <w:rPr>
          <w:rFonts w:hint="eastAsia" w:ascii="宋体" w:hAnsi="宋体" w:eastAsia="宋体" w:cs="宋体"/>
          <w:color w:val="auto"/>
          <w:sz w:val="21"/>
          <w:szCs w:val="21"/>
          <w:highlight w:val="none"/>
        </w:rPr>
        <w:t>无结算资料</w:t>
      </w:r>
      <w:r>
        <w:rPr>
          <w:rFonts w:hint="eastAsia" w:ascii="宋体" w:hAnsi="宋体" w:eastAsia="宋体" w:cs="宋体"/>
          <w:color w:val="auto"/>
          <w:sz w:val="21"/>
          <w:szCs w:val="21"/>
          <w:highlight w:val="none"/>
          <w:lang w:val="en-US" w:eastAsia="zh-CN"/>
        </w:rPr>
        <w:t>和结算资料签章不全</w:t>
      </w:r>
      <w:r>
        <w:rPr>
          <w:rFonts w:hint="eastAsia" w:ascii="宋体" w:hAnsi="宋体" w:eastAsia="宋体" w:cs="宋体"/>
          <w:color w:val="auto"/>
          <w:sz w:val="21"/>
          <w:szCs w:val="21"/>
          <w:highlight w:val="none"/>
        </w:rPr>
        <w:t>不给予付款</w:t>
      </w:r>
      <w:r>
        <w:rPr>
          <w:rFonts w:hint="eastAsia" w:ascii="宋体" w:hAnsi="宋体" w:eastAsia="宋体" w:cs="宋体"/>
          <w:color w:val="auto"/>
          <w:szCs w:val="21"/>
          <w:highlight w:val="none"/>
        </w:rPr>
        <w:t>、超合同约定支付比例不给予付款</w:t>
      </w:r>
      <w:r>
        <w:rPr>
          <w:rFonts w:hint="eastAsia" w:ascii="宋体" w:hAnsi="宋体" w:eastAsia="宋体" w:cs="宋体"/>
          <w:bCs/>
          <w:color w:val="auto"/>
          <w:sz w:val="24"/>
          <w:szCs w:val="24"/>
          <w:highlight w:val="none"/>
        </w:rPr>
        <w:t>。</w:t>
      </w:r>
    </w:p>
    <w:p>
      <w:pPr>
        <w:pStyle w:val="5"/>
        <w:spacing w:before="0" w:after="0" w:line="360" w:lineRule="auto"/>
        <w:jc w:val="center"/>
        <w:rPr>
          <w:rFonts w:hint="eastAsia" w:ascii="宋体" w:hAnsi="宋体" w:eastAsia="宋体" w:cs="宋体"/>
          <w:bCs w:val="0"/>
          <w:color w:val="auto"/>
          <w:sz w:val="24"/>
          <w:szCs w:val="24"/>
          <w:highlight w:val="none"/>
        </w:rPr>
      </w:pPr>
      <w:r>
        <w:rPr>
          <w:rFonts w:hint="eastAsia" w:ascii="宋体" w:hAnsi="宋体" w:eastAsia="宋体" w:cs="宋体"/>
          <w:bCs w:val="0"/>
          <w:color w:val="auto"/>
          <w:sz w:val="28"/>
          <w:szCs w:val="28"/>
          <w:highlight w:val="none"/>
        </w:rPr>
        <w:br w:type="page"/>
      </w:r>
      <w:bookmarkStart w:id="218" w:name="_Toc23924"/>
      <w:bookmarkStart w:id="219" w:name="_Toc12818"/>
      <w:r>
        <w:rPr>
          <w:rFonts w:hint="eastAsia" w:ascii="宋体" w:hAnsi="宋体" w:eastAsia="宋体" w:cs="宋体"/>
          <w:b/>
          <w:bCs/>
          <w:color w:val="auto"/>
          <w:kern w:val="44"/>
          <w:sz w:val="32"/>
          <w:szCs w:val="32"/>
          <w:highlight w:val="none"/>
          <w:lang w:val="en-US" w:eastAsia="zh-CN" w:bidi="ar-SA"/>
        </w:rPr>
        <w:t>第七节</w:t>
      </w:r>
      <w:r>
        <w:rPr>
          <w:rFonts w:hint="eastAsia" w:ascii="宋体" w:hAnsi="宋体" w:eastAsia="宋体" w:cs="宋体"/>
          <w:bCs w:val="0"/>
          <w:color w:val="auto"/>
          <w:sz w:val="28"/>
          <w:szCs w:val="28"/>
          <w:highlight w:val="none"/>
          <w:lang w:val="en-US" w:eastAsia="zh-CN"/>
        </w:rPr>
        <w:t xml:space="preserve"> </w:t>
      </w:r>
      <w:r>
        <w:rPr>
          <w:rFonts w:hint="eastAsia" w:ascii="宋体" w:hAnsi="宋体" w:eastAsia="宋体" w:cs="宋体"/>
          <w:b/>
          <w:bCs/>
          <w:color w:val="auto"/>
          <w:kern w:val="44"/>
          <w:sz w:val="32"/>
          <w:szCs w:val="32"/>
          <w:highlight w:val="none"/>
          <w:lang w:val="en-US" w:eastAsia="zh-CN" w:bidi="ar-SA"/>
        </w:rPr>
        <w:t>农民工实名制及工资支付管理要求</w:t>
      </w:r>
      <w:bookmarkEnd w:id="218"/>
      <w:bookmarkEnd w:id="219"/>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专业分包人作为独立法人机构，拥有合法用人、用工权力更应依法依规承担相应责任，应具备与其从业内容相关的符合国家法律法规、国务院令及各级人民政府具体要求的农民工实名制及工资支付管理规章、制度及实施能力。招标文件中明确要求投标单位提供其日常生产管理中关于农民工实名制及工资支付管理规章、制度的，必须作为投标文件的组成部份组卷报送。招标文件未要求提供的，若投标单位中标，与工程承包人签定专业分包合同，合同履行期间必须满足工程承包人关于农民工实名制及工资支付管理的具体要求，否则即为违约。</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分包单位必须实行人工费用与其他工程款分账管理，做到专款专用。</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三、工程建设领域推行由施工总承包单位（工程承包人）委托银行代发农民工工资。</w:t>
      </w:r>
      <w:r>
        <w:rPr>
          <w:rFonts w:hint="eastAsia" w:ascii="宋体" w:hAnsi="宋体" w:eastAsia="宋体" w:cs="宋体"/>
          <w:color w:val="auto"/>
          <w:szCs w:val="21"/>
          <w:highlight w:val="none"/>
        </w:rPr>
        <w:t>工程承包人</w:t>
      </w:r>
      <w:r>
        <w:rPr>
          <w:rFonts w:hint="eastAsia" w:ascii="宋体" w:hAnsi="宋体" w:eastAsia="宋体" w:cs="宋体"/>
          <w:color w:val="auto"/>
          <w:szCs w:val="21"/>
          <w:highlight w:val="none"/>
          <w:lang w:val="en-US" w:eastAsia="zh-CN"/>
        </w:rPr>
        <w:t>实施通过银行专户或直接代发农民工工资的，分包单位必须无条件参加，并按</w:t>
      </w:r>
      <w:r>
        <w:rPr>
          <w:rFonts w:hint="eastAsia" w:ascii="宋体" w:hAnsi="宋体" w:eastAsia="宋体" w:cs="宋体"/>
          <w:color w:val="auto"/>
          <w:szCs w:val="21"/>
          <w:highlight w:val="none"/>
        </w:rPr>
        <w:t>工程承包人</w:t>
      </w:r>
      <w:r>
        <w:rPr>
          <w:rFonts w:hint="eastAsia" w:ascii="宋体" w:hAnsi="宋体" w:eastAsia="宋体" w:cs="宋体"/>
          <w:color w:val="auto"/>
          <w:szCs w:val="21"/>
          <w:highlight w:val="none"/>
          <w:lang w:val="en-US" w:eastAsia="zh-CN"/>
        </w:rPr>
        <w:t>要求提供完善的资料。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用人单位实行农民工劳动用工实名制管理，按现行法律法规要求，用人单位须与使用的农民工签订劳动合同，建立基本信息管理并办理劳动用工备案。规范工程建设领域劳动用工管理，必须坚持用人单位与工人先签订劳动合同后进场施工。根据《劳动合同法》第10条的规定，建立劳动关系，应当自用工之日起1个月内定立书面劳动合同，不能采取口头协议。分包单位</w:t>
      </w:r>
      <w:r>
        <w:rPr>
          <w:rFonts w:hint="eastAsia" w:ascii="宋体" w:hAnsi="宋体" w:eastAsia="宋体" w:cs="宋体"/>
          <w:color w:val="auto"/>
          <w:szCs w:val="21"/>
          <w:highlight w:val="none"/>
          <w:lang w:eastAsia="zh-CN"/>
        </w:rPr>
        <w:t>使用劳务公司农民工或自已</w:t>
      </w:r>
      <w:r>
        <w:rPr>
          <w:rFonts w:hint="eastAsia" w:ascii="宋体" w:hAnsi="宋体" w:eastAsia="宋体" w:cs="宋体"/>
          <w:color w:val="auto"/>
          <w:szCs w:val="21"/>
          <w:highlight w:val="none"/>
        </w:rPr>
        <w:t>招用农民工</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在签订</w:t>
      </w:r>
      <w:r>
        <w:rPr>
          <w:rFonts w:hint="eastAsia" w:ascii="宋体" w:hAnsi="宋体" w:eastAsia="宋体" w:cs="宋体"/>
          <w:color w:val="auto"/>
          <w:szCs w:val="21"/>
          <w:highlight w:val="none"/>
          <w:lang w:eastAsia="zh-CN"/>
        </w:rPr>
        <w:t>劳务分包合同或</w:t>
      </w:r>
      <w:r>
        <w:rPr>
          <w:rFonts w:hint="eastAsia" w:ascii="宋体" w:hAnsi="宋体" w:eastAsia="宋体" w:cs="宋体"/>
          <w:color w:val="auto"/>
          <w:szCs w:val="21"/>
          <w:highlight w:val="none"/>
        </w:rPr>
        <w:t>劳动合同时，应明确劳动报酬，列明实行按日结算或实行计件</w:t>
      </w:r>
      <w:r>
        <w:rPr>
          <w:rFonts w:hint="eastAsia" w:ascii="宋体" w:hAnsi="宋体" w:eastAsia="宋体" w:cs="宋体"/>
          <w:color w:val="auto"/>
          <w:szCs w:val="21"/>
          <w:highlight w:val="none"/>
          <w:lang w:eastAsia="zh-CN"/>
        </w:rPr>
        <w:t>、计量</w:t>
      </w:r>
      <w:r>
        <w:rPr>
          <w:rFonts w:hint="eastAsia" w:ascii="宋体" w:hAnsi="宋体" w:eastAsia="宋体" w:cs="宋体"/>
          <w:color w:val="auto"/>
          <w:szCs w:val="21"/>
          <w:highlight w:val="none"/>
        </w:rPr>
        <w:t>结算的标准及单价、支付时间、支付方式等内容。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分包单位使用农民工的，其劳动用工年龄，认真执行国家《劳动法》、《劳动合同法》等相关法律法规和政策要求，严格规范劳动用工年龄管理。分包单位必须确保农民工身体健康状况，能胜任当前岗位的工作要求，特殊工种作业人员必须经培训确认，持证上岗率达到100%。</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不得使用禁止招用的人员。</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六、分包单位使用农民工的，进场前需对其进行基本安全培训，经培训合格，并在工程承包人指定的实名制管理平台上进行登记，方允许其进入工程承包人施工现场从事与建筑作业相关的活动。已录入实名制管理平台的农民工，一年以上（含一年）无数据更新的，再次从事建筑作业时，应对其重新进行基本安全培训，记录相关信息，否则不得进入施工现场上岗作业。</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七、分包单位需自觉或服从工程承包人要求，以真实身份信息为基础，采集进入施工现场的农民工和项目管理人员的基本信息，并及时核实、实时更新；真实完整记录农民工工作岗位、劳动合同签订情况、考勤、工资支付等从业信息，建立农民工实名制管理台账，将相关信息上传至工程承包人指定的实名制信息化管理平台。</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rPr>
        <w:t>分包单位应协助、配合工程承包人在施工现场设立“农民工维权告示牌”和每月进行用工管理信息公示。告示牌应明示建设单位、施工总承包企业及项目部、分包企业、行业监管部门等基本信息；明示劳动用工有关法律法规、当地最低工资标准、工资支付日期等信息；明示所属地工程建设行业主管部门、劳动保障监察投诉举报电话和劳动争议调解仲裁机构联系电话等信息。用工管理信息公示的内容应每月进行更新，包括农民工进退场人员名单、考勤记录、工资发放表等经农民工本人签字核对的用工信息。</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九、</w:t>
      </w:r>
      <w:r>
        <w:rPr>
          <w:rFonts w:hint="eastAsia" w:ascii="宋体" w:hAnsi="宋体" w:eastAsia="宋体" w:cs="宋体"/>
          <w:color w:val="auto"/>
          <w:szCs w:val="21"/>
          <w:highlight w:val="none"/>
        </w:rPr>
        <w:t>为保证作业人员进出场、退场日期记录清晰，工资表有考勤记录、且能对人员的基本从业信息进行审查，分包单位必须使用以下表单，以便工程承包人统筹管理，分包合同履约过程中，若表单有调整、变化，以工程承包人</w:t>
      </w:r>
      <w:r>
        <w:rPr>
          <w:rFonts w:hint="eastAsia" w:ascii="宋体" w:hAnsi="宋体" w:eastAsia="宋体" w:cs="宋体"/>
          <w:color w:val="auto"/>
          <w:szCs w:val="21"/>
          <w:highlight w:val="none"/>
          <w:lang w:eastAsia="zh-CN"/>
        </w:rPr>
        <w:t>项</w:t>
      </w:r>
      <w:r>
        <w:rPr>
          <w:rFonts w:hint="eastAsia" w:ascii="宋体" w:hAnsi="宋体" w:eastAsia="宋体" w:cs="宋体"/>
          <w:color w:val="auto"/>
          <w:szCs w:val="21"/>
          <w:highlight w:val="none"/>
        </w:rPr>
        <w:t>目部或业务管理部门具体要求为准。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1.农民工基本从业信息登记。</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2.农民工考勤表。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3.农民工工资表（包括银行代发工资表和临时用工工资发放表）。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4.领取银行卡承诺书。</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5.农民工退场确认表。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十、</w:t>
      </w:r>
      <w:r>
        <w:rPr>
          <w:rFonts w:hint="eastAsia" w:ascii="宋体" w:hAnsi="宋体" w:eastAsia="宋体" w:cs="宋体"/>
          <w:color w:val="auto"/>
          <w:szCs w:val="21"/>
          <w:highlight w:val="none"/>
        </w:rPr>
        <w:t>根据分包工程具体情况，分包单位应配备或使用工程承包人配备的实现实名制管理所必须的硬件设施设备，每天实行人脸识别的考勤管理。相关电子考勤和图像、影像等电子档案保存期限不少于3年。无考勤，不予计发工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综合项目在实际生产过程中，受环境、气候、作业面等多种因素影响，导致工作时间较不稳定，且部分工种作业时间比较特殊，为有效掌握农民工每日进出场人数，提供工资支付依据，要求各项目按照“进场打一次、出场打一次、有进有出”的原则进行考勤管理，工程承包人项目部或业务管理部门可根据实际情况进行考勤时间调整，分包单位必须遵照执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2.进场、出场时间间隔超过12小时的，启动考勤预警机制。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3.考勤表由分包单位法定代表人或委托代理人与工程承包人</w:t>
      </w:r>
      <w:r>
        <w:rPr>
          <w:rFonts w:hint="eastAsia" w:ascii="宋体" w:hAnsi="宋体" w:eastAsia="宋体" w:cs="宋体"/>
          <w:color w:val="auto"/>
          <w:szCs w:val="21"/>
          <w:highlight w:val="none"/>
          <w:lang w:eastAsia="zh-CN"/>
        </w:rPr>
        <w:t>经授权的</w:t>
      </w:r>
      <w:r>
        <w:rPr>
          <w:rFonts w:hint="eastAsia" w:ascii="宋体" w:hAnsi="宋体" w:eastAsia="宋体" w:cs="宋体"/>
          <w:color w:val="auto"/>
          <w:szCs w:val="21"/>
          <w:highlight w:val="none"/>
        </w:rPr>
        <w:t>项目考勤人员共同签字确认。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十一、</w:t>
      </w:r>
      <w:r>
        <w:rPr>
          <w:rFonts w:hint="eastAsia" w:ascii="宋体" w:hAnsi="宋体" w:eastAsia="宋体" w:cs="宋体"/>
          <w:color w:val="auto"/>
          <w:szCs w:val="21"/>
          <w:highlight w:val="none"/>
        </w:rPr>
        <w:t>工资发放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分包单位应当按月考核农民工工作量</w:t>
      </w:r>
      <w:r>
        <w:rPr>
          <w:rFonts w:hint="eastAsia" w:ascii="宋体" w:hAnsi="宋体" w:eastAsia="宋体" w:cs="宋体"/>
          <w:color w:val="auto"/>
          <w:szCs w:val="21"/>
          <w:highlight w:val="none"/>
          <w:lang w:eastAsia="zh-CN"/>
        </w:rPr>
        <w:t>或工作时间</w:t>
      </w:r>
      <w:r>
        <w:rPr>
          <w:rFonts w:hint="eastAsia" w:ascii="宋体" w:hAnsi="宋体" w:eastAsia="宋体" w:cs="宋体"/>
          <w:color w:val="auto"/>
          <w:szCs w:val="21"/>
          <w:highlight w:val="none"/>
        </w:rPr>
        <w:t>并编制真实工资支付表，经农民工本人签字确认后，与当月工程进度</w:t>
      </w:r>
      <w:r>
        <w:rPr>
          <w:rFonts w:hint="eastAsia" w:ascii="宋体" w:hAnsi="宋体" w:eastAsia="宋体" w:cs="宋体"/>
          <w:color w:val="auto"/>
          <w:szCs w:val="21"/>
          <w:highlight w:val="none"/>
          <w:lang w:eastAsia="zh-CN"/>
        </w:rPr>
        <w:t>、考勤表</w:t>
      </w:r>
      <w:r>
        <w:rPr>
          <w:rFonts w:hint="eastAsia" w:ascii="宋体" w:hAnsi="宋体" w:eastAsia="宋体" w:cs="宋体"/>
          <w:color w:val="auto"/>
          <w:szCs w:val="21"/>
          <w:highlight w:val="none"/>
        </w:rPr>
        <w:t>等</w:t>
      </w:r>
      <w:r>
        <w:rPr>
          <w:rFonts w:hint="eastAsia" w:ascii="宋体" w:hAnsi="宋体" w:eastAsia="宋体" w:cs="宋体"/>
          <w:color w:val="auto"/>
          <w:szCs w:val="21"/>
          <w:highlight w:val="none"/>
          <w:lang w:eastAsia="zh-CN"/>
        </w:rPr>
        <w:t>资料</w:t>
      </w:r>
      <w:r>
        <w:rPr>
          <w:rFonts w:hint="eastAsia" w:ascii="宋体" w:hAnsi="宋体" w:eastAsia="宋体" w:cs="宋体"/>
          <w:color w:val="auto"/>
          <w:szCs w:val="21"/>
          <w:highlight w:val="none"/>
        </w:rPr>
        <w:t>一并交工程承包人审核、备案。工程承包人</w:t>
      </w:r>
      <w:r>
        <w:rPr>
          <w:rFonts w:hint="eastAsia" w:ascii="宋体" w:hAnsi="宋体" w:eastAsia="宋体" w:cs="宋体"/>
          <w:color w:val="auto"/>
          <w:szCs w:val="21"/>
          <w:highlight w:val="none"/>
          <w:lang w:eastAsia="zh-CN"/>
        </w:rPr>
        <w:t>审核工资表等相关资料，仅为控制及掌握工资发放的合理性，不代表最终确认与农民工工资直接和间接相关的完成工作量，分包单位实际完成工作内容及工作量，需履行分包工程结算程序予以最终确认。</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.分包单位委托工程承包人代发农民工工资的，由工程承包人</w:t>
      </w:r>
      <w:r>
        <w:rPr>
          <w:rFonts w:hint="eastAsia" w:ascii="宋体" w:hAnsi="宋体" w:eastAsia="宋体" w:cs="宋体"/>
          <w:color w:val="auto"/>
          <w:szCs w:val="21"/>
          <w:highlight w:val="none"/>
          <w:lang w:eastAsia="zh-CN"/>
        </w:rPr>
        <w:t>依据</w:t>
      </w:r>
      <w:r>
        <w:rPr>
          <w:rFonts w:hint="eastAsia" w:ascii="宋体" w:hAnsi="宋体" w:eastAsia="宋体" w:cs="宋体"/>
          <w:color w:val="auto"/>
          <w:szCs w:val="21"/>
          <w:highlight w:val="none"/>
        </w:rPr>
        <w:t>分包单位认可、农民工本人签字确认的工资支付材料</w:t>
      </w:r>
      <w:r>
        <w:rPr>
          <w:rFonts w:hint="eastAsia" w:ascii="宋体" w:hAnsi="宋体" w:eastAsia="宋体" w:cs="宋体"/>
          <w:color w:val="auto"/>
          <w:szCs w:val="21"/>
          <w:highlight w:val="none"/>
          <w:lang w:eastAsia="zh-CN"/>
        </w:rPr>
        <w:t>，经审核后，</w:t>
      </w:r>
      <w:r>
        <w:rPr>
          <w:rFonts w:hint="eastAsia" w:ascii="宋体" w:hAnsi="宋体" w:eastAsia="宋体" w:cs="宋体"/>
          <w:color w:val="auto"/>
          <w:szCs w:val="21"/>
          <w:highlight w:val="none"/>
        </w:rPr>
        <w:t>通过银行直接</w:t>
      </w:r>
      <w:r>
        <w:rPr>
          <w:rFonts w:hint="eastAsia" w:ascii="宋体" w:hAnsi="宋体" w:eastAsia="宋体" w:cs="宋体"/>
          <w:color w:val="auto"/>
          <w:szCs w:val="21"/>
          <w:highlight w:val="none"/>
          <w:lang w:eastAsia="zh-CN"/>
        </w:rPr>
        <w:t>发放工资至</w:t>
      </w:r>
      <w:r>
        <w:rPr>
          <w:rFonts w:hint="eastAsia" w:ascii="宋体" w:hAnsi="宋体" w:eastAsia="宋体" w:cs="宋体"/>
          <w:color w:val="auto"/>
          <w:szCs w:val="21"/>
          <w:highlight w:val="none"/>
        </w:rPr>
        <w:t>农民工个人帐户。分包单位弄虚作假的，承担相关法律责任。分包单位委托工程承包人代发农民工工资，银行代发比例不低于90%。分包单位不得以讨要农民工工资为由讨要工程款、机械租赁费或材料费等。</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3.分包单位自行通过其农民工工资银行专户发放农民工工资的，</w:t>
      </w:r>
      <w:r>
        <w:rPr>
          <w:rFonts w:hint="eastAsia" w:ascii="宋体" w:hAnsi="宋体" w:eastAsia="宋体" w:cs="宋体"/>
          <w:color w:val="auto"/>
          <w:szCs w:val="21"/>
          <w:highlight w:val="none"/>
        </w:rPr>
        <w:t>工程承包人</w:t>
      </w:r>
      <w:r>
        <w:rPr>
          <w:rFonts w:hint="eastAsia" w:ascii="宋体" w:hAnsi="宋体" w:eastAsia="宋体" w:cs="宋体"/>
          <w:color w:val="auto"/>
          <w:szCs w:val="21"/>
          <w:highlight w:val="none"/>
          <w:lang w:eastAsia="zh-CN"/>
        </w:rPr>
        <w:t>依据分包合同约定及经</w:t>
      </w:r>
      <w:r>
        <w:rPr>
          <w:rFonts w:hint="eastAsia" w:ascii="宋体" w:hAnsi="宋体" w:eastAsia="宋体" w:cs="宋体"/>
          <w:color w:val="auto"/>
          <w:szCs w:val="21"/>
          <w:highlight w:val="none"/>
        </w:rPr>
        <w:t>工程承包人</w:t>
      </w:r>
      <w:r>
        <w:rPr>
          <w:rFonts w:hint="eastAsia" w:ascii="宋体" w:hAnsi="宋体" w:eastAsia="宋体" w:cs="宋体"/>
          <w:color w:val="auto"/>
          <w:szCs w:val="21"/>
          <w:highlight w:val="none"/>
          <w:lang w:eastAsia="zh-CN"/>
        </w:rPr>
        <w:t>审核、认可的工资</w:t>
      </w:r>
      <w:r>
        <w:rPr>
          <w:rFonts w:hint="eastAsia" w:ascii="宋体" w:hAnsi="宋体" w:eastAsia="宋体" w:cs="宋体"/>
          <w:color w:val="auto"/>
          <w:szCs w:val="21"/>
          <w:highlight w:val="none"/>
        </w:rPr>
        <w:t>支付材料</w:t>
      </w:r>
      <w:r>
        <w:rPr>
          <w:rFonts w:hint="eastAsia" w:ascii="宋体" w:hAnsi="宋体" w:eastAsia="宋体" w:cs="宋体"/>
          <w:color w:val="auto"/>
          <w:szCs w:val="21"/>
          <w:highlight w:val="none"/>
          <w:lang w:eastAsia="zh-CN"/>
        </w:rPr>
        <w:t>等，拨付款项至分包单位</w:t>
      </w:r>
      <w:r>
        <w:rPr>
          <w:rFonts w:hint="eastAsia" w:ascii="宋体" w:hAnsi="宋体" w:eastAsia="宋体" w:cs="宋体"/>
          <w:color w:val="auto"/>
          <w:szCs w:val="21"/>
          <w:highlight w:val="none"/>
          <w:lang w:val="en-US" w:eastAsia="zh-CN"/>
        </w:rPr>
        <w:t>农民工工资银行专户，进行工资发放。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.对于</w:t>
      </w:r>
      <w:r>
        <w:rPr>
          <w:rFonts w:hint="eastAsia" w:ascii="宋体" w:hAnsi="宋体" w:eastAsia="宋体" w:cs="宋体"/>
          <w:color w:val="auto"/>
          <w:szCs w:val="21"/>
          <w:highlight w:val="none"/>
          <w:lang w:eastAsia="zh-CN"/>
        </w:rPr>
        <w:t>因用工时间较短且未及时办理银行卡的农民工或其他原因，</w:t>
      </w:r>
      <w:r>
        <w:rPr>
          <w:rFonts w:hint="eastAsia" w:ascii="宋体" w:hAnsi="宋体" w:eastAsia="宋体" w:cs="宋体"/>
          <w:color w:val="auto"/>
          <w:szCs w:val="21"/>
          <w:highlight w:val="none"/>
          <w:lang w:val="en-US" w:eastAsia="zh-CN"/>
        </w:rPr>
        <w:t>确实</w:t>
      </w:r>
      <w:r>
        <w:rPr>
          <w:rFonts w:hint="eastAsia" w:ascii="宋体" w:hAnsi="宋体" w:eastAsia="宋体" w:cs="宋体"/>
          <w:color w:val="auto"/>
          <w:szCs w:val="21"/>
          <w:highlight w:val="none"/>
          <w:lang w:eastAsia="zh-CN"/>
        </w:rPr>
        <w:t>不能实行</w:t>
      </w:r>
      <w:r>
        <w:rPr>
          <w:rFonts w:hint="eastAsia" w:ascii="宋体" w:hAnsi="宋体" w:eastAsia="宋体" w:cs="宋体"/>
          <w:color w:val="auto"/>
          <w:szCs w:val="21"/>
          <w:highlight w:val="none"/>
        </w:rPr>
        <w:t>工程承包人</w:t>
      </w:r>
      <w:r>
        <w:rPr>
          <w:rFonts w:hint="eastAsia" w:ascii="宋体" w:hAnsi="宋体" w:eastAsia="宋体" w:cs="宋体"/>
          <w:color w:val="auto"/>
          <w:szCs w:val="21"/>
          <w:highlight w:val="none"/>
          <w:lang w:eastAsia="zh-CN"/>
        </w:rPr>
        <w:t>委托银行代发或分包单位委托银行代发的</w:t>
      </w:r>
      <w:r>
        <w:rPr>
          <w:rFonts w:hint="eastAsia" w:ascii="宋体" w:hAnsi="宋体" w:eastAsia="宋体" w:cs="宋体"/>
          <w:color w:val="auto"/>
          <w:szCs w:val="21"/>
          <w:highlight w:val="none"/>
        </w:rPr>
        <w:t>，分包单位应当在工程承包人</w:t>
      </w:r>
      <w:r>
        <w:rPr>
          <w:rFonts w:hint="eastAsia" w:ascii="宋体" w:hAnsi="宋体" w:eastAsia="宋体" w:cs="宋体"/>
          <w:color w:val="auto"/>
          <w:szCs w:val="21"/>
          <w:highlight w:val="none"/>
          <w:lang w:eastAsia="zh-CN"/>
        </w:rPr>
        <w:t>指定</w:t>
      </w:r>
      <w:r>
        <w:rPr>
          <w:rFonts w:hint="eastAsia" w:ascii="宋体" w:hAnsi="宋体" w:eastAsia="宋体" w:cs="宋体"/>
          <w:color w:val="auto"/>
          <w:szCs w:val="21"/>
          <w:highlight w:val="none"/>
        </w:rPr>
        <w:t>的实名制平台内依据考勤</w:t>
      </w:r>
      <w:r>
        <w:rPr>
          <w:rFonts w:hint="eastAsia" w:ascii="宋体" w:hAnsi="宋体" w:eastAsia="宋体" w:cs="宋体"/>
          <w:color w:val="auto"/>
          <w:szCs w:val="21"/>
          <w:highlight w:val="none"/>
          <w:lang w:eastAsia="zh-CN"/>
        </w:rPr>
        <w:t>、完成工作量等编</w:t>
      </w:r>
      <w:r>
        <w:rPr>
          <w:rFonts w:hint="eastAsia" w:ascii="宋体" w:hAnsi="宋体" w:eastAsia="宋体" w:cs="宋体"/>
          <w:color w:val="auto"/>
          <w:szCs w:val="21"/>
          <w:highlight w:val="none"/>
        </w:rPr>
        <w:t>制农民工工资表，并经工程承包人审核</w:t>
      </w:r>
      <w:r>
        <w:rPr>
          <w:rFonts w:hint="eastAsia" w:ascii="宋体" w:hAnsi="宋体" w:eastAsia="宋体" w:cs="宋体"/>
          <w:color w:val="auto"/>
          <w:szCs w:val="21"/>
          <w:highlight w:val="none"/>
          <w:lang w:eastAsia="zh-CN"/>
        </w:rPr>
        <w:t>确认后拨付款项</w:t>
      </w:r>
      <w:r>
        <w:rPr>
          <w:rFonts w:hint="eastAsia" w:ascii="宋体" w:hAnsi="宋体" w:eastAsia="宋体" w:cs="宋体"/>
          <w:color w:val="auto"/>
          <w:szCs w:val="21"/>
          <w:highlight w:val="none"/>
        </w:rPr>
        <w:t>，分包单位在收取工程款后，确保人工费用按时足额发放。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对于工作期限1个月以内的短期临时用工或工作期限3个月以内已签订劳动合同但未及时办理工资银行卡且已经离场的人员，分包单位自收到工程款后，应优先对有实名制考勤记录的人工工资（劳务费）进行支付，填写《农民工退场确认表》及相关记录</w:t>
      </w:r>
      <w:r>
        <w:rPr>
          <w:rFonts w:hint="eastAsia" w:ascii="宋体" w:hAnsi="宋体" w:eastAsia="宋体" w:cs="宋体"/>
          <w:color w:val="auto"/>
          <w:szCs w:val="21"/>
          <w:highlight w:val="none"/>
          <w:lang w:eastAsia="zh-CN"/>
        </w:rPr>
        <w:t>，并留存</w:t>
      </w:r>
      <w:r>
        <w:rPr>
          <w:rFonts w:hint="eastAsia" w:ascii="宋体" w:hAnsi="宋体" w:eastAsia="宋体" w:cs="宋体"/>
          <w:color w:val="auto"/>
          <w:szCs w:val="21"/>
          <w:highlight w:val="none"/>
        </w:rPr>
        <w:t>影像资料，发放情况也应向工程承包人备案存档。无实名制考勤记录的离场人员工工资由分包单位自行支付，不得要求工程承包人拨付款</w:t>
      </w:r>
      <w:r>
        <w:rPr>
          <w:rFonts w:hint="eastAsia" w:ascii="宋体" w:hAnsi="宋体" w:eastAsia="宋体" w:cs="宋体"/>
          <w:color w:val="auto"/>
          <w:szCs w:val="21"/>
          <w:highlight w:val="none"/>
          <w:lang w:eastAsia="zh-CN"/>
        </w:rPr>
        <w:t>项</w:t>
      </w:r>
      <w:r>
        <w:rPr>
          <w:rFonts w:hint="eastAsia" w:ascii="宋体" w:hAnsi="宋体" w:eastAsia="宋体" w:cs="宋体"/>
          <w:color w:val="auto"/>
          <w:szCs w:val="21"/>
          <w:highlight w:val="none"/>
        </w:rPr>
        <w:t>以支付无实名制考勤人员工资。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.已定立书面劳动合同，用人单位与农民工解除或终止劳动关系的，</w:t>
      </w:r>
      <w:r>
        <w:rPr>
          <w:rFonts w:hint="eastAsia" w:ascii="宋体" w:hAnsi="宋体" w:eastAsia="宋体" w:cs="宋体"/>
          <w:color w:val="auto"/>
          <w:szCs w:val="21"/>
          <w:highlight w:val="none"/>
          <w:lang w:eastAsia="zh-CN"/>
        </w:rPr>
        <w:t>且农民工确实在工程承包人工程项目提供作业服务的，</w:t>
      </w:r>
      <w:r>
        <w:rPr>
          <w:rFonts w:hint="eastAsia" w:ascii="宋体" w:hAnsi="宋体" w:eastAsia="宋体" w:cs="宋体"/>
          <w:color w:val="auto"/>
          <w:szCs w:val="21"/>
          <w:highlight w:val="none"/>
        </w:rPr>
        <w:t>对已办理工资银行卡的农民工</w:t>
      </w:r>
      <w:r>
        <w:rPr>
          <w:rFonts w:hint="eastAsia" w:ascii="宋体" w:hAnsi="宋体" w:eastAsia="宋体" w:cs="宋体"/>
          <w:color w:val="auto"/>
          <w:szCs w:val="21"/>
          <w:highlight w:val="none"/>
          <w:lang w:eastAsia="zh-CN"/>
        </w:rPr>
        <w:t>，分包单位</w:t>
      </w:r>
      <w:r>
        <w:rPr>
          <w:rFonts w:hint="eastAsia" w:ascii="宋体" w:hAnsi="宋体" w:eastAsia="宋体" w:cs="宋体"/>
          <w:color w:val="auto"/>
          <w:szCs w:val="21"/>
          <w:highlight w:val="none"/>
        </w:rPr>
        <w:t>应在次月通过银行代发结清工资，对未办理工资银行卡的农民工</w:t>
      </w:r>
      <w:r>
        <w:rPr>
          <w:rFonts w:hint="eastAsia" w:ascii="宋体" w:hAnsi="宋体" w:eastAsia="宋体" w:cs="宋体"/>
          <w:color w:val="auto"/>
          <w:szCs w:val="21"/>
          <w:highlight w:val="none"/>
          <w:lang w:eastAsia="zh-CN"/>
        </w:rPr>
        <w:t>，分包单位</w:t>
      </w:r>
      <w:r>
        <w:rPr>
          <w:rFonts w:hint="eastAsia" w:ascii="宋体" w:hAnsi="宋体" w:eastAsia="宋体" w:cs="宋体"/>
          <w:color w:val="auto"/>
          <w:szCs w:val="21"/>
          <w:highlight w:val="none"/>
        </w:rPr>
        <w:t>应在7个工作日内结清工资。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.对于不足1个月的短期或者临时性用工，用人单位应在任务完成后5个工作日内结清或者按日支付工资。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上述情况</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5、6、7</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，双方应填写《农民工退场确认表》（用人单位和农民工本人各执一份，项目复印一份存档，并应当交一份复印件至工程承包人备案保管），注明工资支付情况。</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以上所有发放形式，分包单位都应按月向工程承包人提供发放台账、签字确认表、转账记录等，同用工管理台账一起保存至工程完工且工资全部结清后至少三年。</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分包单位必须妥善处理工资拖欠问题</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分包单位劳动用工和工资支付应服从工程承包人监督及接受政府有关部门监管。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十二、</w:t>
      </w:r>
      <w:r>
        <w:rPr>
          <w:rFonts w:hint="eastAsia" w:ascii="宋体" w:hAnsi="宋体" w:eastAsia="宋体" w:cs="宋体"/>
          <w:color w:val="auto"/>
          <w:szCs w:val="21"/>
          <w:highlight w:val="none"/>
        </w:rPr>
        <w:t>农民工工资（劳务费）与当月工程款（量）结算集成，防止超结超付。但对分包单位已完成一定工程量，由于涉及设计变更、核算工程量滞后等原因，导致未如期进行当月计量的情形，工程承包人项目部或业务管理部门可根据实际生产情况审核确认分包单位上报的农民工工资数额。</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十三、</w:t>
      </w:r>
      <w:r>
        <w:rPr>
          <w:rFonts w:hint="eastAsia" w:ascii="宋体" w:hAnsi="宋体" w:eastAsia="宋体" w:cs="宋体"/>
          <w:color w:val="auto"/>
          <w:szCs w:val="21"/>
          <w:highlight w:val="none"/>
        </w:rPr>
        <w:t>分包单位应每月按照工程承包人项目部或业务管理部门要求提供所有农民工工资发放材料，否则代发工资和次月计量审核不通过。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十四、</w:t>
      </w:r>
      <w:r>
        <w:rPr>
          <w:rFonts w:hint="eastAsia" w:ascii="宋体" w:hAnsi="宋体" w:eastAsia="宋体" w:cs="宋体"/>
          <w:color w:val="auto"/>
          <w:szCs w:val="21"/>
          <w:highlight w:val="none"/>
        </w:rPr>
        <w:t>工程承包人项目部或业务管理部门每月应认真审核分包单位上报的工资支付的相关资料，重点审核农民工是否与用人单位签订劳动合同、工资数额、考勤天数、计量结算资料、分包单位签订的委托银行代发的协议等，并将所有经审核的资料每月上报至项目所属公司。</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十五、</w:t>
      </w:r>
      <w:r>
        <w:rPr>
          <w:rFonts w:hint="eastAsia" w:ascii="宋体" w:hAnsi="宋体" w:eastAsia="宋体" w:cs="宋体"/>
          <w:color w:val="auto"/>
          <w:szCs w:val="21"/>
          <w:highlight w:val="none"/>
        </w:rPr>
        <w:t>分包单位应当对农民工工资卡履行监督管理职责，确保农民工工资卡由农民工本人保管并由本人自由支配、使用，对于</w:t>
      </w:r>
      <w:r>
        <w:rPr>
          <w:rFonts w:hint="eastAsia" w:ascii="宋体" w:hAnsi="宋体" w:eastAsia="宋体" w:cs="宋体"/>
          <w:color w:val="auto"/>
          <w:szCs w:val="21"/>
          <w:highlight w:val="none"/>
          <w:lang w:eastAsia="zh-CN"/>
        </w:rPr>
        <w:t>他人</w:t>
      </w:r>
      <w:r>
        <w:rPr>
          <w:rFonts w:hint="eastAsia" w:ascii="宋体" w:hAnsi="宋体" w:eastAsia="宋体" w:cs="宋体"/>
          <w:color w:val="auto"/>
          <w:szCs w:val="21"/>
          <w:highlight w:val="none"/>
        </w:rPr>
        <w:t>恶意截取农民工工资卡，套取农民工工资的行为，分包单位承担直接监管不力责任，发生的农民工工资纠纷由分包单位自行承担。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十六、</w:t>
      </w:r>
      <w:r>
        <w:rPr>
          <w:rFonts w:hint="eastAsia" w:ascii="宋体" w:hAnsi="宋体" w:eastAsia="宋体" w:cs="宋体"/>
          <w:color w:val="auto"/>
          <w:szCs w:val="21"/>
          <w:highlight w:val="none"/>
        </w:rPr>
        <w:t>分包单位因农民工管理失责，导致农民工工资纠纷金额超过工程承包人应当支付的工程款项的，纠纷处理责任应当由分包单位自行承担，不得要求工程承包人超付工程款以解决农民工工资纠纷。</w:t>
      </w:r>
    </w:p>
    <w:p>
      <w:pPr>
        <w:spacing w:line="360" w:lineRule="auto"/>
        <w:ind w:firstLine="420" w:firstLineChars="200"/>
        <w:rPr>
          <w:rFonts w:hint="eastAsia" w:ascii="宋体" w:hAnsi="宋体" w:eastAsia="宋体" w:cs="宋体"/>
          <w:color w:val="auto"/>
          <w:szCs w:val="21"/>
          <w:highlight w:val="none"/>
        </w:rPr>
      </w:pPr>
    </w:p>
    <w:p>
      <w:pPr>
        <w:pStyle w:val="5"/>
        <w:spacing w:before="0" w:after="0" w:line="360" w:lineRule="auto"/>
        <w:jc w:val="center"/>
        <w:rPr>
          <w:rFonts w:hint="eastAsia" w:ascii="宋体" w:hAnsi="宋体" w:eastAsia="宋体" w:cs="宋体"/>
          <w:b/>
          <w:bCs/>
          <w:color w:val="auto"/>
          <w:kern w:val="44"/>
          <w:sz w:val="32"/>
          <w:szCs w:val="32"/>
          <w:highlight w:val="none"/>
          <w:lang w:val="en-US" w:eastAsia="zh-CN" w:bidi="ar-SA"/>
        </w:rPr>
      </w:pPr>
      <w:bookmarkStart w:id="220" w:name="_Toc28401"/>
      <w:bookmarkStart w:id="221" w:name="_Toc32151"/>
      <w:r>
        <w:rPr>
          <w:rFonts w:hint="eastAsia" w:ascii="宋体" w:hAnsi="宋体" w:eastAsia="宋体" w:cs="宋体"/>
          <w:b/>
          <w:bCs/>
          <w:color w:val="auto"/>
          <w:kern w:val="44"/>
          <w:sz w:val="32"/>
          <w:szCs w:val="32"/>
          <w:highlight w:val="none"/>
          <w:lang w:val="en-US" w:eastAsia="zh-CN" w:bidi="ar-SA"/>
        </w:rPr>
        <w:t>第八节 维护项目建设过程良好公众形象的要求</w:t>
      </w:r>
      <w:bookmarkEnd w:id="220"/>
      <w:bookmarkEnd w:id="221"/>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专业分包人应具备与其从业内容相关的安全文明标准化工地建设、维护项目建设过程良好公众形象的规章、制度及实施能力。招标文件中明确要求投标单位提供其日常生产管理中关于安全文明标准化工地建设、维护项目建设过程良好公众形象管理文件或制度、规章的，必须作为投标文件的组成部份组卷报送。招标文件未要求提供的，若投标单位中标，与工程承包人签定专业分包合同，合同履行期间必须满足工程承包人关于安全文明标准化工地建设、维护项目建设过程良好公众形象的具体要求（包括但不限于本文述及的要求），否则即为违约。</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专业分包人需要使用工程承包人、或使用其他单位制作的现场标识、标牌、彩旗的，必须经由工程承包人项目部或业务管理部门同意。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施工现场安全文明标准化工地建设、维护项目建设过程良好公众形象等工作，专业分包人必须服从工程承包人统筹安排。</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目施工区标准：现场主大门尺寸、材质及制作工艺符合我方标准，主大门旁设置实名制通道；外围挡展示云南建投集团简介、文明施工承诺和八牌二图等内容；外封闭架悬挂标幅、标语，建筑物达到一定的建设高度在醒目位置悬挂云南建投集团标志（名片）；现场机械设备、临时施工用电合理布设，规范悬挂安全防护标识、标牌；钢筋加工棚、配电房、库房和垃圾站等临建搭设规范，标识、标牌准确，并按照工程承包人相关要求设置质量或安全标语。</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办公区、生活区标准：办公用房、生活用房和活动区域布局科学、功能完备，整体标准化、整洁化，局部绿植美化到位；现场设旗台、旗杆，升挂云南建投集团旗帜且使用符合规范；办公室门头设科室牌，室内上墙岗位职责牌、安全生产牌，且制作符合规范；会议室背景宣传展示云南建投集团标志与“爱岗敬业、珍惜岗位、诚实守信、依法经营”企业共同行为准则等内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专业分包人应做好或配合工程承包人做好网络舆情管理工作，持续开展舆情监测、信息跟踪，健全完善突发事件新闻媒体应急处置工作预案，提前制定具体应对措施，及时控制舆论导向，正面引导舆论情绪，做到早监测、早发现、早报告、早控制、早化解。</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专业分包人应做好或配合工程承包人做好安全文明标准化工地建设，确保项目围挡、临边防护各项安全防护措施到位。施工现场实施封闭管理，设置固定出入口和门卫室，配备专人值班，对进出场人员、车辆、材料、机具等进行严格规范管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rPr>
        <w:t>专业分包人必须严格执行国家环境保护法律法规，严格控制现场噪声，配备必要的噪声检测系统。严格落实“洒水、覆盖、硬化、冲洗、绿化、围挡”“六个100%”措施，现场配备必要的车辆冲洗设施、除尘降尘设备和喷淋系统。根据工程进度及时打扫清理施工垃圾，使用器具或管道运输清运，做到工完料净场地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专业分包人施工现场建筑材料、构件、料具按总平面布局及工程承包人具体要求码放，做到整齐有序、标识明确，并按要求采取防火、防锈蚀、防雨等措施。现场在醒目位置设置安全劳动权益保障告示牌、重大危险源公示牌。现场机具、设备定期开展检测检修，涂刷油漆，张贴标识。易燃易爆物品分类储藏在专用库房，做到专人管理维护，消防手段措施齐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rPr>
        <w:t>分包工程施工区、材料区和办公区、生活区明显分隔管理或按工程承包人要求统筹管理。制定宿舍和食堂管理制度。宿舍人均面积和人员数量符合规范，具备良好的防潮、通风、采光等性能；宿舍内生活用品摆放整齐，环境卫生符合要求。食堂配备排风、冷藏、消毒、防鼠、防蚊蝇等设施；食堂卫生管理、操作环境和工作人员职业健康安全达标，杜绝传染病和中毒事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九、</w:t>
      </w:r>
      <w:r>
        <w:rPr>
          <w:rFonts w:hint="eastAsia" w:ascii="宋体" w:hAnsi="宋体" w:eastAsia="宋体" w:cs="宋体"/>
          <w:color w:val="auto"/>
          <w:szCs w:val="21"/>
          <w:highlight w:val="none"/>
        </w:rPr>
        <w:t>专业分包人应将本单位职工和农民工的职业技能、职业素养、行为规范要求贯穿于标准化全过程。人员进入施工现场佩戴好工作证和安全帽，工作中正确穿戴个人防护用品。职工、农民工着装整齐统一，言行遵规守纪、文明礼貌，在对外交往与会议场合提倡使用普通话，处处维护项目建设管理良好形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十、</w:t>
      </w:r>
      <w:r>
        <w:rPr>
          <w:rFonts w:hint="eastAsia" w:ascii="宋体" w:hAnsi="宋体" w:eastAsia="宋体" w:cs="宋体"/>
          <w:color w:val="auto"/>
          <w:szCs w:val="21"/>
          <w:highlight w:val="none"/>
        </w:rPr>
        <w:t>专业分包人需执行农民工实名制管理制度，及时有效化解各项矛盾纠纷，不发生劳务纠纷等群体性事件和上访事件，确保项目和谐稳定。</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十一、</w:t>
      </w:r>
      <w:r>
        <w:rPr>
          <w:rFonts w:hint="eastAsia" w:ascii="宋体" w:hAnsi="宋体" w:eastAsia="宋体" w:cs="宋体"/>
          <w:color w:val="auto"/>
          <w:szCs w:val="21"/>
          <w:highlight w:val="none"/>
        </w:rPr>
        <w:t>专业分包人应自主或主动参与工程承包人完善项目相关文体设施，因地制宜地开展好文艺演出、篮球比赛、足球比赛、演讲比赛、征文比赛和读书活动等群众性文体活动，丰富职工精神文化生活，培养团队合作进取精神，切实提升项目凝聚力、向心力、战斗力。</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十二、</w:t>
      </w:r>
      <w:r>
        <w:rPr>
          <w:rFonts w:hint="eastAsia" w:ascii="宋体" w:hAnsi="宋体" w:eastAsia="宋体" w:cs="宋体"/>
          <w:color w:val="auto"/>
          <w:szCs w:val="21"/>
          <w:highlight w:val="none"/>
        </w:rPr>
        <w:t>专业分包人应积极组织和参与劳动竞赛、技能大赛等。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十三、</w:t>
      </w:r>
      <w:r>
        <w:rPr>
          <w:rFonts w:hint="eastAsia" w:ascii="宋体" w:hAnsi="宋体" w:eastAsia="宋体" w:cs="宋体"/>
          <w:color w:val="auto"/>
          <w:szCs w:val="21"/>
          <w:highlight w:val="none"/>
        </w:rPr>
        <w:t>专业分包人应在力所能及的前提下，积极参与项目所在地抢险、救灾等公益活动，体现社会责任担当。</w:t>
      </w:r>
    </w:p>
    <w:p>
      <w:pPr>
        <w:pStyle w:val="5"/>
        <w:spacing w:before="0" w:after="0" w:line="360" w:lineRule="auto"/>
        <w:jc w:val="center"/>
        <w:outlineLvl w:val="2"/>
        <w:rPr>
          <w:rFonts w:hint="eastAsia" w:ascii="宋体" w:hAnsi="宋体" w:eastAsia="宋体" w:cs="宋体"/>
          <w:bCs w:val="0"/>
          <w:color w:val="auto"/>
          <w:sz w:val="24"/>
          <w:szCs w:val="24"/>
          <w:highlight w:val="none"/>
        </w:rPr>
      </w:pPr>
      <w:r>
        <w:rPr>
          <w:rFonts w:hint="eastAsia" w:ascii="宋体" w:hAnsi="宋体" w:eastAsia="宋体" w:cs="宋体"/>
          <w:bCs w:val="0"/>
          <w:color w:val="auto"/>
          <w:sz w:val="28"/>
          <w:szCs w:val="28"/>
          <w:highlight w:val="none"/>
        </w:rPr>
        <w:br w:type="page"/>
      </w:r>
      <w:bookmarkStart w:id="222" w:name="_Toc29168"/>
      <w:bookmarkStart w:id="223" w:name="_Toc31339"/>
      <w:r>
        <w:rPr>
          <w:rFonts w:hint="eastAsia" w:ascii="宋体" w:hAnsi="宋体" w:eastAsia="宋体" w:cs="宋体"/>
          <w:b/>
          <w:bCs/>
          <w:color w:val="auto"/>
          <w:kern w:val="44"/>
          <w:sz w:val="32"/>
          <w:szCs w:val="32"/>
          <w:highlight w:val="none"/>
          <w:lang w:val="en-US" w:eastAsia="zh-CN" w:bidi="ar-SA"/>
        </w:rPr>
        <w:t>第九节</w:t>
      </w:r>
      <w:r>
        <w:rPr>
          <w:rFonts w:hint="eastAsia" w:ascii="宋体" w:hAnsi="宋体" w:eastAsia="宋体" w:cs="宋体"/>
          <w:bCs w:val="0"/>
          <w:color w:val="auto"/>
          <w:sz w:val="28"/>
          <w:szCs w:val="28"/>
          <w:highlight w:val="none"/>
          <w:lang w:val="en-US" w:eastAsia="zh-CN"/>
        </w:rPr>
        <w:t xml:space="preserve"> </w:t>
      </w:r>
      <w:r>
        <w:rPr>
          <w:rFonts w:hint="eastAsia" w:ascii="宋体" w:hAnsi="宋体" w:eastAsia="宋体" w:cs="宋体"/>
          <w:b/>
          <w:bCs/>
          <w:color w:val="auto"/>
          <w:kern w:val="44"/>
          <w:sz w:val="32"/>
          <w:szCs w:val="32"/>
          <w:highlight w:val="none"/>
          <w:lang w:val="en-US" w:eastAsia="zh-CN" w:bidi="ar-SA"/>
        </w:rPr>
        <w:t>信访维稳安全保卫管理要求</w:t>
      </w:r>
      <w:bookmarkEnd w:id="222"/>
      <w:bookmarkEnd w:id="223"/>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专业分包人要认真贯彻落实国家和地方各级政府制定的各项方针政策、法律法规和相关管理规定，落实各项安全保卫制度、消防管理制度、施工安全应急预案等规章制度；要经常对使用的务工人员进行遵纪守法教育，增强法制观念，遵守国家法律、法规及所在单位内部的各项规章制度。</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专业分包人配有安全保卫人员或签约安保公司进场实施保卫工作的，应向工程承包人项目部和业务管理部门报备并征得同意，服从工程承包人对项目总体信访维稳安全保卫工作的统一管理。专业分包人未配有安全保卫人员或签约安保公司进场实施保卫工作，并享有由工程承包人统一安排的安保服务的，须服从统一管理，并承担相应费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专业分包人招聘务工人员（包括劳务分包人员）用于工程承包人项目分包工程施工管理、施工作业时，必须做到来源清、情况明，严禁使用身份信息不明人员及已被公安机关通缉的违法犯罪嫌疑人；对身体健康状况不能满足拟安排岗位工作需要的务工人员一律不得录用；严禁非法使用童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专业分包人应对其务工人员（包括劳务分包人员）登记、备案，并做好或配合工程承包人做好公安机关对流动人口的基础信息采集工作，及时办理居住证。</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专业分包人务工人员（包括劳务分包人员）必须遵守国家相关法律法规和所在项目有关综合治安管理的相关规定，严禁偷窃、哄抢、斗殴、赌博、酗酒闹事、吸食或注射毒品等违法犯罪行为。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rPr>
        <w:t>专业分包人必须经常对其务工人员（包括劳务分包人员）进行防火安全知识宣传教育、消防技能培训，开展防火安全检查，严禁在工地现场宿舍内私拉乱接电源线路，严禁违规使用明火，若有违反及产生不良后果，专业分包人必须与其违反者共同承担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如遇刑事、治安案件或自然灾害事故，专业分包人应自觉或协助、配合工程承包人项目部或业务管理部门保护好现场，抢救受伤人员和物资，并协助和配合相关部门做好侦查和处理工作。</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rPr>
        <w:t>专业分包人应建立和完善或要求其所用劳务公司建立和完善农民工实名制录用登记和工资支付管理等制度，规范劳动用工行为，如实记录施工现场作业农民工的进出场信息、身份信息（工种、身份证号、住址、联系方式、不良行为记录等）、劳动考勤、工资结算（包括应发和已发工资情况）、工资支付单位、时间、对象、数额等支付情况，并保存备查，预防和杜绝因拖欠农民工工资而引发群体性事件。</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九、专业分包人</w:t>
      </w:r>
      <w:r>
        <w:rPr>
          <w:rFonts w:hint="eastAsia" w:ascii="宋体" w:hAnsi="宋体" w:eastAsia="宋体" w:cs="宋体"/>
          <w:color w:val="auto"/>
          <w:szCs w:val="21"/>
          <w:highlight w:val="none"/>
          <w:lang w:eastAsia="zh-CN"/>
        </w:rPr>
        <w:t>不得组织、纵容所属务工人员</w:t>
      </w:r>
      <w:r>
        <w:rPr>
          <w:rFonts w:hint="eastAsia" w:ascii="宋体" w:hAnsi="宋体" w:eastAsia="宋体" w:cs="宋体"/>
          <w:color w:val="auto"/>
          <w:szCs w:val="21"/>
          <w:highlight w:val="none"/>
        </w:rPr>
        <w:t>发生破坏正常生产经营和办公生活秩序</w:t>
      </w:r>
      <w:r>
        <w:rPr>
          <w:rFonts w:hint="eastAsia" w:ascii="宋体" w:hAnsi="宋体" w:eastAsia="宋体" w:cs="宋体"/>
          <w:color w:val="auto"/>
          <w:szCs w:val="21"/>
          <w:highlight w:val="none"/>
          <w:lang w:eastAsia="zh-CN"/>
        </w:rPr>
        <w:t>及</w:t>
      </w:r>
      <w:r>
        <w:rPr>
          <w:rFonts w:hint="eastAsia" w:ascii="宋体" w:hAnsi="宋体" w:eastAsia="宋体" w:cs="宋体"/>
          <w:color w:val="auto"/>
          <w:szCs w:val="21"/>
          <w:highlight w:val="none"/>
        </w:rPr>
        <w:t>有损</w:t>
      </w:r>
      <w:r>
        <w:rPr>
          <w:rFonts w:hint="eastAsia" w:ascii="宋体" w:hAnsi="宋体" w:eastAsia="宋体" w:cs="宋体"/>
          <w:color w:val="auto"/>
          <w:szCs w:val="21"/>
          <w:highlight w:val="none"/>
          <w:lang w:eastAsia="zh-CN"/>
        </w:rPr>
        <w:t>甲方、业主方、监理方、政府等</w:t>
      </w:r>
      <w:r>
        <w:rPr>
          <w:rFonts w:hint="eastAsia" w:ascii="宋体" w:hAnsi="宋体" w:eastAsia="宋体" w:cs="宋体"/>
          <w:color w:val="auto"/>
          <w:szCs w:val="21"/>
          <w:highlight w:val="none"/>
        </w:rPr>
        <w:t>社会形象的行为，包括围堵（堵门、堵路）、冲击、强占</w:t>
      </w:r>
      <w:r>
        <w:rPr>
          <w:rFonts w:hint="eastAsia" w:ascii="宋体" w:hAnsi="宋体" w:eastAsia="宋体" w:cs="宋体"/>
          <w:color w:val="auto"/>
          <w:szCs w:val="21"/>
          <w:highlight w:val="none"/>
          <w:lang w:eastAsia="zh-CN"/>
        </w:rPr>
        <w:t>甲方、业主方、监理方、政府办公机构等</w:t>
      </w:r>
      <w:r>
        <w:rPr>
          <w:rFonts w:hint="eastAsia" w:ascii="宋体" w:hAnsi="宋体" w:eastAsia="宋体" w:cs="宋体"/>
          <w:color w:val="auto"/>
          <w:szCs w:val="21"/>
          <w:highlight w:val="none"/>
        </w:rPr>
        <w:t>办公场所和生产（施工）场所；拦截车辆、堵塞或阻断</w:t>
      </w:r>
      <w:r>
        <w:rPr>
          <w:rFonts w:hint="eastAsia" w:ascii="宋体" w:hAnsi="宋体" w:eastAsia="宋体" w:cs="宋体"/>
          <w:color w:val="auto"/>
          <w:szCs w:val="21"/>
          <w:highlight w:val="none"/>
          <w:lang w:eastAsia="zh-CN"/>
        </w:rPr>
        <w:t>施工场地及公共</w:t>
      </w:r>
      <w:r>
        <w:rPr>
          <w:rFonts w:hint="eastAsia" w:ascii="宋体" w:hAnsi="宋体" w:eastAsia="宋体" w:cs="宋体"/>
          <w:color w:val="auto"/>
          <w:szCs w:val="21"/>
          <w:highlight w:val="none"/>
        </w:rPr>
        <w:t>交通；侮辱、殴打</w:t>
      </w:r>
      <w:r>
        <w:rPr>
          <w:rFonts w:hint="eastAsia" w:ascii="宋体" w:hAnsi="宋体" w:eastAsia="宋体" w:cs="宋体"/>
          <w:color w:val="auto"/>
          <w:szCs w:val="21"/>
          <w:highlight w:val="none"/>
          <w:lang w:eastAsia="zh-CN"/>
        </w:rPr>
        <w:t>甲方、业主方、监理方、政府等</w:t>
      </w:r>
      <w:r>
        <w:rPr>
          <w:rFonts w:hint="eastAsia" w:ascii="宋体" w:hAnsi="宋体" w:eastAsia="宋体" w:cs="宋体"/>
          <w:color w:val="auto"/>
          <w:szCs w:val="21"/>
          <w:highlight w:val="none"/>
        </w:rPr>
        <w:t>工作人员或非法限制他人自由；禁止在非接待场所静坐、长时间滞留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将生活不能自理的人员弃留在接待场所或拉挂标语、横幅等情况。</w:t>
      </w:r>
      <w:r>
        <w:rPr>
          <w:rFonts w:hint="eastAsia" w:ascii="宋体" w:hAnsi="宋体" w:eastAsia="宋体" w:cs="宋体"/>
          <w:color w:val="auto"/>
          <w:szCs w:val="21"/>
          <w:highlight w:val="none"/>
          <w:lang w:eastAsia="zh-CN"/>
        </w:rPr>
        <w:t>若所属务工人员发生以上情况，分包单位、分包单位负责人及参与人员必须承但因违反《中华人民共和国治安管理处罚法》、《信访条例》等规定应承担的法律责任，必须承担因对他人（单位及个人）权益构成侵害（包括经济或财产损失、名誉、个人人身自由等）应承担的民事责任。</w:t>
      </w:r>
    </w:p>
    <w:p>
      <w:pPr>
        <w:spacing w:line="360" w:lineRule="auto"/>
        <w:ind w:firstLine="420" w:firstLineChars="200"/>
        <w:jc w:val="center"/>
        <w:outlineLvl w:val="2"/>
        <w:rPr>
          <w:rFonts w:hint="eastAsia" w:ascii="宋体" w:hAnsi="宋体" w:eastAsia="宋体" w:cs="宋体"/>
          <w:b/>
          <w:bCs/>
          <w:color w:val="auto"/>
          <w:sz w:val="24"/>
          <w:szCs w:val="24"/>
          <w:highlight w:val="none"/>
        </w:rPr>
      </w:pPr>
      <w:r>
        <w:rPr>
          <w:rFonts w:hint="eastAsia" w:ascii="宋体" w:hAnsi="宋体" w:eastAsia="宋体" w:cs="宋体"/>
          <w:color w:val="auto"/>
          <w:szCs w:val="21"/>
          <w:highlight w:val="none"/>
        </w:rPr>
        <w:br w:type="page"/>
      </w:r>
      <w:bookmarkStart w:id="224" w:name="_Toc10637"/>
      <w:r>
        <w:rPr>
          <w:rFonts w:hint="eastAsia" w:ascii="宋体" w:hAnsi="宋体" w:eastAsia="宋体" w:cs="宋体"/>
          <w:b/>
          <w:bCs/>
          <w:color w:val="auto"/>
          <w:kern w:val="44"/>
          <w:sz w:val="32"/>
          <w:szCs w:val="32"/>
          <w:highlight w:val="none"/>
          <w:lang w:val="en-US" w:eastAsia="zh-CN" w:bidi="ar-SA"/>
        </w:rPr>
        <w:t>第十节 依法经营廉洁合作的要求</w:t>
      </w:r>
      <w:bookmarkEnd w:id="224"/>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专业分包人须坚持依法合规经营和诚实守信原则，如实向工程承包人提供有关资质材料和经营信息。</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专业分包人不得为工程承包人及工作人员报销应由工程承包人单位或个人支付的任何费用。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专业分包人不得邀请和资助工程承包人工作人员及其家属外出旅游、参观、学习。</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专业分包人不得利用黄、赌、贿等各种手段拉拢腐蚀工程承包人工作人员。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专业分包人不得宴请工程承包人工作人员或向工程承包人工作人员赠送各种礼品、礼券（现金），如有违反除给工程承包人相关人员处分外，工程承包人有权终止分包合同。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rPr>
        <w:t>专业分包人在工程项目建设中采用不正当手段拉拢工程承包人人员，损害工程承包人利益，根据具体情节和造成后果，工程承包人有权解除分包合同，由此给工程承包人造成的损失均由专业分包人承担。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专业分包人在工程项目建设中贿赂工程承包人人员，被纪检监察、司法机关立案查处的，工程承包人有权解除分包合同。由此给工程承包人造成的损失均由专业分包人承担，并向工程承包人承担经济赔偿责任及依法承担法律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rPr>
        <w:t>专业分包人在工程项目建设中发现工程承包人人员有不廉洁行为，应及时告知工程承包人该项目上一级主管领导或</w:t>
      </w:r>
      <w:r>
        <w:rPr>
          <w:rFonts w:hint="eastAsia" w:ascii="宋体" w:hAnsi="宋体" w:eastAsia="宋体" w:cs="宋体"/>
          <w:color w:val="auto"/>
          <w:szCs w:val="21"/>
          <w:highlight w:val="none"/>
          <w:lang w:eastAsia="zh-CN"/>
        </w:rPr>
        <w:t>向</w:t>
      </w:r>
      <w:r>
        <w:rPr>
          <w:rFonts w:hint="eastAsia" w:ascii="宋体" w:hAnsi="宋体" w:eastAsia="宋体" w:cs="宋体"/>
          <w:color w:val="auto"/>
          <w:szCs w:val="21"/>
          <w:highlight w:val="none"/>
        </w:rPr>
        <w:t>工程承包人纪检监察</w:t>
      </w:r>
      <w:r>
        <w:rPr>
          <w:rFonts w:hint="eastAsia" w:ascii="宋体" w:hAnsi="宋体" w:eastAsia="宋体" w:cs="宋体"/>
          <w:color w:val="auto"/>
          <w:szCs w:val="21"/>
          <w:highlight w:val="none"/>
          <w:lang w:eastAsia="zh-CN"/>
        </w:rPr>
        <w:t>等相关部门</w:t>
      </w:r>
      <w:r>
        <w:rPr>
          <w:rFonts w:hint="eastAsia" w:ascii="宋体" w:hAnsi="宋体" w:eastAsia="宋体" w:cs="宋体"/>
          <w:color w:val="auto"/>
          <w:szCs w:val="21"/>
          <w:highlight w:val="none"/>
        </w:rPr>
        <w:t>举报。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九、</w:t>
      </w:r>
      <w:r>
        <w:rPr>
          <w:rFonts w:hint="eastAsia" w:ascii="宋体" w:hAnsi="宋体" w:eastAsia="宋体" w:cs="宋体"/>
          <w:color w:val="auto"/>
          <w:szCs w:val="21"/>
          <w:highlight w:val="none"/>
        </w:rPr>
        <w:t>工程承包人纪检监察、审计、巡察、督导督察等监督部门开展工作实施调查、审查业务时，涉及专业分包人相关事项的，专业分包人及专业分包人工作人员必须予以配合。</w:t>
      </w:r>
    </w:p>
    <w:p>
      <w:pPr>
        <w:adjustRightInd w:val="0"/>
        <w:snapToGrid w:val="0"/>
        <w:spacing w:line="600" w:lineRule="exact"/>
        <w:ind w:firstLine="562" w:firstLineChars="200"/>
        <w:jc w:val="center"/>
        <w:outlineLvl w:val="2"/>
        <w:rPr>
          <w:rFonts w:hint="eastAsia" w:ascii="宋体" w:hAnsi="宋体" w:eastAsia="宋体" w:cs="宋体"/>
          <w:b/>
          <w:color w:val="auto"/>
          <w:sz w:val="24"/>
          <w:szCs w:val="24"/>
          <w:highlight w:val="none"/>
        </w:rPr>
      </w:pPr>
      <w:r>
        <w:rPr>
          <w:rFonts w:hint="eastAsia" w:ascii="宋体" w:hAnsi="宋体" w:eastAsia="宋体" w:cs="宋体"/>
          <w:b/>
          <w:bCs/>
          <w:color w:val="auto"/>
          <w:sz w:val="28"/>
          <w:szCs w:val="28"/>
          <w:highlight w:val="none"/>
        </w:rPr>
        <w:br w:type="page"/>
      </w:r>
      <w:bookmarkStart w:id="225" w:name="_Toc14488"/>
      <w:r>
        <w:rPr>
          <w:rFonts w:hint="eastAsia" w:ascii="宋体" w:hAnsi="宋体" w:eastAsia="宋体" w:cs="宋体"/>
          <w:b/>
          <w:bCs/>
          <w:color w:val="auto"/>
          <w:kern w:val="44"/>
          <w:sz w:val="32"/>
          <w:szCs w:val="32"/>
          <w:highlight w:val="none"/>
          <w:lang w:val="en-US" w:eastAsia="zh-CN" w:bidi="ar-SA"/>
        </w:rPr>
        <w:t>第十一节 分包工程作业人员要求</w:t>
      </w:r>
      <w:bookmarkEnd w:id="225"/>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作业人员必须身体健康、证件齐全、思想素质好、技术水平优（特种作业人员需持证上岗且符合），能满足分包合同质量、安全、工期、文明施工等作业需求，并能遵守国家法律、法规、相关规章制度及工程承包人项目部管理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相关作业人员年龄限制如下：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1.一般作业人员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1.1.参保为城镇居民保险或“新农保”作业人员：男女：18~60周岁；</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1.2.参保个体工商户，自谋职业及灵活方式就业人员：男：18~60周岁；女:18~55周岁；</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2.井下作业人员（硐体工等）：男：18~55周岁；女:18~</w:t>
      </w:r>
      <w:r>
        <w:rPr>
          <w:rFonts w:hint="eastAsia" w:ascii="宋体" w:hAnsi="宋体" w:eastAsia="宋体" w:cs="宋体"/>
          <w:color w:val="auto"/>
          <w:szCs w:val="21"/>
          <w:highlight w:val="none"/>
          <w:lang w:val="en-US" w:eastAsia="zh-CN"/>
        </w:rPr>
        <w:t>45</w:t>
      </w:r>
      <w:r>
        <w:rPr>
          <w:rFonts w:hint="eastAsia" w:ascii="宋体" w:hAnsi="宋体" w:eastAsia="宋体" w:cs="宋体"/>
          <w:color w:val="auto"/>
          <w:szCs w:val="21"/>
          <w:highlight w:val="none"/>
        </w:rPr>
        <w:t>周岁；</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3.高空作业人员（吊装工、架子工、外墙粉刷工、起重机械司机、安装拆卸工等）：男：18~55周岁；女:18~</w:t>
      </w:r>
      <w:r>
        <w:rPr>
          <w:rFonts w:hint="eastAsia" w:ascii="宋体" w:hAnsi="宋体" w:eastAsia="宋体" w:cs="宋体"/>
          <w:color w:val="auto"/>
          <w:szCs w:val="21"/>
          <w:highlight w:val="none"/>
          <w:lang w:val="en-US" w:eastAsia="zh-CN"/>
        </w:rPr>
        <w:t>45</w:t>
      </w:r>
      <w:r>
        <w:rPr>
          <w:rFonts w:hint="eastAsia" w:ascii="宋体" w:hAnsi="宋体" w:eastAsia="宋体" w:cs="宋体"/>
          <w:color w:val="auto"/>
          <w:szCs w:val="21"/>
          <w:highlight w:val="none"/>
        </w:rPr>
        <w:t>周岁；</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4.高、低温作业人员（浇铸工等）：男：18~55周岁；女:18~</w:t>
      </w:r>
      <w:r>
        <w:rPr>
          <w:rFonts w:hint="eastAsia" w:ascii="宋体" w:hAnsi="宋体" w:eastAsia="宋体" w:cs="宋体"/>
          <w:color w:val="auto"/>
          <w:szCs w:val="21"/>
          <w:highlight w:val="none"/>
          <w:lang w:val="en-US" w:eastAsia="zh-CN"/>
        </w:rPr>
        <w:t>45</w:t>
      </w:r>
      <w:r>
        <w:rPr>
          <w:rFonts w:hint="eastAsia" w:ascii="宋体" w:hAnsi="宋体" w:eastAsia="宋体" w:cs="宋体"/>
          <w:color w:val="auto"/>
          <w:szCs w:val="21"/>
          <w:highlight w:val="none"/>
        </w:rPr>
        <w:t>周岁；</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5.特别繁重体力劳动（砌砖工、抹灰工、混凝土工、制材工、砌石工、搬运工等）：男：18~55周岁；女:18~</w:t>
      </w:r>
      <w:r>
        <w:rPr>
          <w:rFonts w:hint="eastAsia" w:ascii="宋体" w:hAnsi="宋体" w:eastAsia="宋体" w:cs="宋体"/>
          <w:color w:val="auto"/>
          <w:szCs w:val="21"/>
          <w:highlight w:val="none"/>
          <w:lang w:val="en-US" w:eastAsia="zh-CN"/>
        </w:rPr>
        <w:t>45</w:t>
      </w:r>
      <w:r>
        <w:rPr>
          <w:rFonts w:hint="eastAsia" w:ascii="宋体" w:hAnsi="宋体" w:eastAsia="宋体" w:cs="宋体"/>
          <w:color w:val="auto"/>
          <w:szCs w:val="21"/>
          <w:highlight w:val="none"/>
        </w:rPr>
        <w:t>周岁；</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6.有害身体健康作业（沉箱工、砌炉工、电焊工、油漆工等）：男：18~55周岁；女:18~</w:t>
      </w:r>
      <w:r>
        <w:rPr>
          <w:rFonts w:hint="eastAsia" w:ascii="宋体" w:hAnsi="宋体" w:eastAsia="宋体" w:cs="宋体"/>
          <w:color w:val="auto"/>
          <w:szCs w:val="21"/>
          <w:highlight w:val="none"/>
          <w:lang w:val="en-US" w:eastAsia="zh-CN"/>
        </w:rPr>
        <w:t>45</w:t>
      </w:r>
      <w:r>
        <w:rPr>
          <w:rFonts w:hint="eastAsia" w:ascii="宋体" w:hAnsi="宋体" w:eastAsia="宋体" w:cs="宋体"/>
          <w:color w:val="auto"/>
          <w:szCs w:val="21"/>
          <w:highlight w:val="none"/>
        </w:rPr>
        <w:t>周岁；</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7.海拔3500米以上作业人员：男：18~55周岁；女:18~</w:t>
      </w:r>
      <w:r>
        <w:rPr>
          <w:rFonts w:hint="eastAsia" w:ascii="宋体" w:hAnsi="宋体" w:eastAsia="宋体" w:cs="宋体"/>
          <w:color w:val="auto"/>
          <w:szCs w:val="21"/>
          <w:highlight w:val="none"/>
          <w:lang w:val="en-US" w:eastAsia="zh-CN"/>
        </w:rPr>
        <w:t>45</w:t>
      </w:r>
      <w:r>
        <w:rPr>
          <w:rFonts w:hint="eastAsia" w:ascii="宋体" w:hAnsi="宋体" w:eastAsia="宋体" w:cs="宋体"/>
          <w:color w:val="auto"/>
          <w:szCs w:val="21"/>
          <w:highlight w:val="none"/>
        </w:rPr>
        <w:t>周岁；</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专业分包人应教育、敦促并确保作业人员遵守有关的法律、法规和施工现场的各项管理规定，保守项目的商业秘密，因泄露给业主方等造成损失的，承担全部赔偿及相关法律责任。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专业分包人必须确保作业人员依据施工协议、设计文件、操作规范、规程等相关标准进行施工作业，做到安全生产、文明施工。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专业分包人应教育、敦促并确保作业人员不得盗伐林木，不得无合法完备手续砍伐林木，严禁猎杀野生动物。</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rPr>
        <w:t>专业分包人应教育、敦促并确保作业人员服从和配合工程承包人、监理单位及行业主管部门的监督和检查，专业分包人应为在本工程所投入的人员及机械设备购买保险，其他如办理居住证、车辆通行证等均由专业分包人自行办理，同时将保单、相关证件复印件交工程承包人备查。按分包合同约定及工程承包人管理要求，做到工完、料净、场地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专业分包人应教育、敦促并确保作业人员尊重项目所在地的民风、民俗，禁止酗酒、打架、斗殴，自觉维护项目建设的良好形象。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rPr>
        <w:t>专业分包人应教育、敦促并确保作业人员不得私自使用工程承包人及其他作业单位的材料、机械等，需使用时，必须与工程承包人或相关方办理相关手续，有偿使用。若专业分包人作业人员未经工程承包人或相关方同意，未办理领用、使用手续，即私自使用工程承包人或相关方材料、机械等的按偷盗行为论处，必须向工程承包人或相关方双倍赔偿，并承担法律责任。</w:t>
      </w:r>
    </w:p>
    <w:p>
      <w:pPr>
        <w:spacing w:line="360" w:lineRule="auto"/>
        <w:ind w:firstLine="420" w:firstLineChars="200"/>
        <w:rPr>
          <w:rFonts w:hint="eastAsia" w:ascii="宋体" w:hAnsi="宋体" w:eastAsia="宋体" w:cs="宋体"/>
          <w:b/>
          <w:bCs w:val="0"/>
          <w:color w:val="auto"/>
          <w:kern w:val="2"/>
          <w:sz w:val="24"/>
          <w:szCs w:val="24"/>
          <w:highlight w:val="none"/>
          <w:lang w:val="en-US" w:eastAsia="zh-CN" w:bidi="ar-SA"/>
        </w:rPr>
        <w:sectPr>
          <w:footerReference r:id="rId13" w:type="default"/>
          <w:pgSz w:w="11905" w:h="16838"/>
          <w:pgMar w:top="1440" w:right="1134" w:bottom="1134" w:left="1134" w:header="851" w:footer="992" w:gutter="567"/>
          <w:pgBorders>
            <w:top w:val="none" w:sz="0" w:space="0"/>
            <w:left w:val="none" w:sz="0" w:space="0"/>
            <w:bottom w:val="none" w:sz="0" w:space="0"/>
            <w:right w:val="none" w:sz="0" w:space="0"/>
          </w:pgBorders>
          <w:pgNumType w:fmt="decimal"/>
          <w:cols w:space="720" w:num="1"/>
          <w:rtlGutter w:val="0"/>
          <w:docGrid w:type="lines" w:linePitch="317" w:charSpace="0"/>
        </w:sectPr>
      </w:pPr>
      <w:r>
        <w:rPr>
          <w:rFonts w:hint="eastAsia" w:ascii="宋体" w:hAnsi="宋体" w:eastAsia="宋体" w:cs="宋体"/>
          <w:color w:val="auto"/>
          <w:szCs w:val="21"/>
          <w:highlight w:val="none"/>
          <w:lang w:val="en-US" w:eastAsia="zh-CN"/>
        </w:rPr>
        <w:t>九、</w:t>
      </w:r>
      <w:r>
        <w:rPr>
          <w:rFonts w:hint="eastAsia" w:ascii="宋体" w:hAnsi="宋体" w:eastAsia="宋体" w:cs="宋体"/>
          <w:color w:val="auto"/>
          <w:szCs w:val="21"/>
          <w:highlight w:val="none"/>
        </w:rPr>
        <w:t>专业分包人使用工程承包人水、电、气的，必须单独按表计量（包括作业人员生活用水、电、气），每月双方签字确认，费用在每月结算中扣除。确实因现场条件限制不便单独安装水、电、气表的，使用前专业分包人必须与工程承包人项目部或业务部门书面确定（或在分包合同中确定）使用水、电、气相关事项及扣费方式、金额等。</w:t>
      </w:r>
    </w:p>
    <w:p>
      <w:pPr>
        <w:pStyle w:val="5"/>
        <w:spacing w:before="0" w:after="0" w:line="360" w:lineRule="auto"/>
        <w:jc w:val="center"/>
        <w:rPr>
          <w:rFonts w:hint="eastAsia" w:ascii="宋体" w:hAnsi="宋体" w:eastAsia="宋体" w:cs="宋体"/>
          <w:b/>
          <w:bCs/>
          <w:color w:val="auto"/>
          <w:kern w:val="44"/>
          <w:sz w:val="32"/>
          <w:szCs w:val="32"/>
          <w:highlight w:val="none"/>
          <w:lang w:val="en-US" w:eastAsia="zh-CN" w:bidi="ar-SA"/>
        </w:rPr>
      </w:pPr>
      <w:bookmarkStart w:id="226" w:name="_Toc32356"/>
      <w:bookmarkStart w:id="227" w:name="_Toc17090"/>
      <w:r>
        <w:rPr>
          <w:rFonts w:hint="eastAsia" w:ascii="宋体" w:hAnsi="宋体" w:eastAsia="宋体" w:cs="宋体"/>
          <w:b/>
          <w:bCs/>
          <w:color w:val="auto"/>
          <w:kern w:val="44"/>
          <w:sz w:val="32"/>
          <w:szCs w:val="32"/>
          <w:highlight w:val="none"/>
          <w:lang w:val="en-US" w:eastAsia="zh-CN" w:bidi="ar-SA"/>
        </w:rPr>
        <w:t>第十二章 相关管理用表</w:t>
      </w:r>
      <w:bookmarkEnd w:id="226"/>
      <w:bookmarkEnd w:id="227"/>
    </w:p>
    <w:p>
      <w:pPr>
        <w:numPr>
          <w:ilvl w:val="0"/>
          <w:numId w:val="0"/>
        </w:numPr>
        <w:spacing w:before="0" w:after="0" w:line="360" w:lineRule="auto"/>
        <w:jc w:val="left"/>
        <w:outlineLvl w:val="3"/>
        <w:rPr>
          <w:rFonts w:hint="eastAsia" w:ascii="宋体" w:hAnsi="宋体" w:eastAsia="宋体" w:cs="宋体"/>
          <w:color w:val="auto"/>
          <w:highlight w:val="none"/>
        </w:rPr>
      </w:pPr>
      <w:bookmarkStart w:id="228" w:name="_Toc14210"/>
      <w:bookmarkStart w:id="229" w:name="_Toc32045"/>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合同结算管理要求附表</w:t>
      </w:r>
      <w:bookmarkEnd w:id="228"/>
      <w:bookmarkEnd w:id="229"/>
    </w:p>
    <w:tbl>
      <w:tblPr>
        <w:tblStyle w:val="24"/>
        <w:tblW w:w="12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30"/>
        <w:gridCol w:w="914"/>
        <w:gridCol w:w="407"/>
        <w:gridCol w:w="468"/>
        <w:gridCol w:w="493"/>
        <w:gridCol w:w="550"/>
        <w:gridCol w:w="530"/>
        <w:gridCol w:w="485"/>
        <w:gridCol w:w="535"/>
        <w:gridCol w:w="459"/>
        <w:gridCol w:w="530"/>
        <w:gridCol w:w="432"/>
        <w:gridCol w:w="515"/>
        <w:gridCol w:w="504"/>
        <w:gridCol w:w="444"/>
        <w:gridCol w:w="700"/>
        <w:gridCol w:w="510"/>
        <w:gridCol w:w="671"/>
        <w:gridCol w:w="656"/>
        <w:gridCol w:w="667"/>
        <w:gridCol w:w="641"/>
        <w:gridCol w:w="521"/>
        <w:gridCol w:w="496"/>
        <w:gridCol w:w="6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2980" w:type="dxa"/>
            <w:gridSpan w:val="24"/>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kern w:val="0"/>
                <w:sz w:val="32"/>
                <w:szCs w:val="32"/>
                <w:highlight w:val="none"/>
                <w:u w:val="none"/>
                <w:lang w:val="en-US" w:eastAsia="zh-CN" w:bidi="ar"/>
              </w:rPr>
              <w:t>云南建投第十建设有限公司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gridSpan w:val="2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kern w:val="0"/>
                <w:sz w:val="32"/>
                <w:szCs w:val="32"/>
                <w:highlight w:val="none"/>
                <w:u w:val="none"/>
                <w:lang w:val="en-US" w:eastAsia="zh-CN" w:bidi="ar"/>
              </w:rPr>
              <w:t>分包结算单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gridSpan w:val="3"/>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right"/>
              <w:rPr>
                <w:rFonts w:hint="eastAsia" w:ascii="宋体" w:hAnsi="宋体" w:eastAsia="宋体" w:cs="宋体"/>
                <w:b/>
                <w:i w:val="0"/>
                <w:color w:val="auto"/>
                <w:sz w:val="20"/>
                <w:szCs w:val="20"/>
                <w:highlight w:val="none"/>
                <w:u w:val="none"/>
              </w:rPr>
            </w:pPr>
          </w:p>
        </w:tc>
        <w:tc>
          <w:tcPr>
            <w:tcW w:w="0" w:type="auto"/>
            <w:gridSpan w:val="11"/>
            <w:tcBorders>
              <w:top w:val="nil"/>
              <w:left w:val="nil"/>
              <w:bottom w:val="nil"/>
              <w:right w:val="nil"/>
            </w:tcBorders>
            <w:shd w:val="clear" w:color="auto" w:fill="auto"/>
            <w:noWrap/>
            <w:tcMar>
              <w:top w:w="15" w:type="dxa"/>
              <w:left w:w="15" w:type="dxa"/>
              <w:right w:w="15" w:type="dxa"/>
            </w:tcMar>
            <w:vAlign w:val="center"/>
          </w:tcPr>
          <w:p>
            <w:pPr>
              <w:jc w:val="right"/>
              <w:rPr>
                <w:rFonts w:hint="eastAsia" w:ascii="宋体" w:hAnsi="宋体" w:eastAsia="宋体" w:cs="宋体"/>
                <w:b/>
                <w:i w:val="0"/>
                <w:color w:val="auto"/>
                <w:sz w:val="20"/>
                <w:szCs w:val="20"/>
                <w:highlight w:val="none"/>
                <w:u w:val="none"/>
              </w:rPr>
            </w:pPr>
          </w:p>
        </w:tc>
        <w:tc>
          <w:tcPr>
            <w:tcW w:w="0" w:type="auto"/>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劳务分包预结算单□  专业分包预结算单□</w:t>
            </w:r>
          </w:p>
        </w:tc>
        <w:tc>
          <w:tcPr>
            <w:tcW w:w="0" w:type="auto"/>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结算单编号：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项目名称</w:t>
            </w:r>
          </w:p>
        </w:tc>
        <w:tc>
          <w:tcPr>
            <w:tcW w:w="343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93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分包单位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第    页     共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分包合同名称</w:t>
            </w:r>
          </w:p>
        </w:tc>
        <w:tc>
          <w:tcPr>
            <w:tcW w:w="343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93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分包合同编号</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结算期间</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分包项目清单名称</w:t>
            </w:r>
          </w:p>
        </w:tc>
        <w:tc>
          <w:tcPr>
            <w:tcW w:w="4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w:t>
            </w: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合同工程量</w:t>
            </w:r>
          </w:p>
        </w:tc>
        <w:tc>
          <w:tcPr>
            <w:tcW w:w="256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合同单价（元）</w:t>
            </w:r>
          </w:p>
        </w:tc>
        <w:tc>
          <w:tcPr>
            <w:tcW w:w="193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合同总价（元）</w:t>
            </w:r>
          </w:p>
        </w:tc>
        <w:tc>
          <w:tcPr>
            <w:tcW w:w="272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当月完成金额（元）</w:t>
            </w:r>
          </w:p>
        </w:tc>
        <w:tc>
          <w:tcPr>
            <w:tcW w:w="351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累计完成金额（元）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不含税</w:t>
            </w:r>
          </w:p>
        </w:tc>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增值税税率（%）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含税</w:t>
            </w:r>
          </w:p>
        </w:tc>
        <w:tc>
          <w:tcPr>
            <w:tcW w:w="9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不含税</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含税</w:t>
            </w:r>
          </w:p>
        </w:tc>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当月完成工程量</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不含税</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含税</w:t>
            </w:r>
          </w:p>
        </w:tc>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累计完成工作量</w:t>
            </w: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不含税</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含税</w:t>
            </w: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其中人工费单价</w:t>
            </w: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其中人工费单价</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合价</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其中人工费单价</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合价</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其中人工费合价</w:t>
            </w:r>
          </w:p>
        </w:tc>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合价</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其中人工费合价</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合价</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其中人工费合价</w:t>
            </w: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合价</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其中人工费合价</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合价</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其中人工费合价</w:t>
            </w: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小计</w:t>
            </w:r>
          </w:p>
        </w:tc>
        <w:tc>
          <w:tcPr>
            <w:tcW w:w="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扣款</w:t>
            </w:r>
          </w:p>
        </w:tc>
        <w:tc>
          <w:tcPr>
            <w:tcW w:w="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小计</w:t>
            </w:r>
          </w:p>
        </w:tc>
        <w:tc>
          <w:tcPr>
            <w:tcW w:w="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合计</w:t>
            </w:r>
          </w:p>
        </w:tc>
        <w:tc>
          <w:tcPr>
            <w:tcW w:w="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分包单位：（签章）                                  </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日  期：</w:t>
            </w:r>
          </w:p>
        </w:tc>
      </w:tr>
    </w:tbl>
    <w:p>
      <w:pPr>
        <w:pStyle w:val="11"/>
        <w:rPr>
          <w:rFonts w:hint="eastAsia" w:ascii="宋体" w:hAnsi="宋体" w:eastAsia="宋体" w:cs="宋体"/>
          <w:color w:val="auto"/>
          <w:highlight w:val="none"/>
        </w:rPr>
        <w:sectPr>
          <w:pgSz w:w="16838" w:h="11905" w:orient="landscape"/>
          <w:pgMar w:top="1440" w:right="1797" w:bottom="569" w:left="1797" w:header="851" w:footer="992" w:gutter="567"/>
          <w:pgBorders>
            <w:top w:val="none" w:sz="0" w:space="0"/>
            <w:left w:val="none" w:sz="0" w:space="0"/>
            <w:bottom w:val="none" w:sz="0" w:space="0"/>
            <w:right w:val="none" w:sz="0" w:space="0"/>
          </w:pgBorders>
          <w:pgNumType w:fmt="decimal"/>
          <w:cols w:space="720" w:num="1"/>
          <w:rtlGutter w:val="0"/>
          <w:docGrid w:type="lines" w:linePitch="317" w:charSpace="0"/>
        </w:sectPr>
      </w:pPr>
    </w:p>
    <w:tbl>
      <w:tblPr>
        <w:tblStyle w:val="24"/>
        <w:tblW w:w="14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05"/>
        <w:gridCol w:w="905"/>
        <w:gridCol w:w="3432"/>
        <w:gridCol w:w="6380"/>
        <w:gridCol w:w="905"/>
        <w:gridCol w:w="905"/>
        <w:gridCol w:w="9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4340"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kern w:val="0"/>
                <w:sz w:val="32"/>
                <w:szCs w:val="32"/>
                <w:highlight w:val="none"/>
                <w:u w:val="none"/>
                <w:lang w:val="en-US" w:eastAsia="zh-CN" w:bidi="ar"/>
              </w:rPr>
              <w:t>云南建投第十建设有限公司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0" w:type="auto"/>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kern w:val="0"/>
                <w:sz w:val="32"/>
                <w:szCs w:val="32"/>
                <w:highlight w:val="none"/>
                <w:u w:val="none"/>
                <w:lang w:val="en-US" w:eastAsia="zh-CN" w:bidi="ar"/>
              </w:rPr>
              <w:t>工程量计算书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0" w:type="auto"/>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0" w:type="auto"/>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项目名称：                 分包单位：                  分包合同名称：                  分包合同编号：                 计量期间：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部位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分包项目清单名称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计   算   式    或    说    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auto"/>
                <w:sz w:val="20"/>
                <w:szCs w:val="20"/>
                <w:highlight w:val="none"/>
                <w:u w:val="none"/>
              </w:rPr>
            </w:pP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auto"/>
                <w:sz w:val="20"/>
                <w:szCs w:val="20"/>
                <w:highlight w:val="none"/>
                <w:u w:val="none"/>
              </w:rPr>
            </w:pP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auto"/>
                <w:sz w:val="20"/>
                <w:szCs w:val="20"/>
                <w:highlight w:val="none"/>
                <w:u w:val="none"/>
              </w:rPr>
            </w:pP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auto"/>
                <w:sz w:val="20"/>
                <w:szCs w:val="20"/>
                <w:highlight w:val="none"/>
                <w:u w:val="none"/>
              </w:rPr>
            </w:pP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auto"/>
                <w:sz w:val="20"/>
                <w:szCs w:val="20"/>
                <w:highlight w:val="none"/>
                <w:u w:val="none"/>
              </w:rPr>
            </w:pP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auto"/>
                <w:sz w:val="20"/>
                <w:szCs w:val="20"/>
                <w:highlight w:val="none"/>
                <w:u w:val="none"/>
              </w:rPr>
            </w:pP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0" w:hRule="atLeast"/>
        </w:trPr>
        <w:tc>
          <w:tcPr>
            <w:tcW w:w="0" w:type="auto"/>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施工员：                </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auto"/>
                <w:sz w:val="20"/>
                <w:szCs w:val="20"/>
                <w:highlight w:val="none"/>
                <w:u w:val="none"/>
              </w:rPr>
            </w:pPr>
          </w:p>
        </w:tc>
        <w:tc>
          <w:tcPr>
            <w:tcW w:w="0" w:type="auto"/>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日   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0" w:type="auto"/>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备注：本表格中分包项目清单名称与分包合同已标价工程量清单一一对应</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auto"/>
                <w:sz w:val="20"/>
                <w:szCs w:val="20"/>
                <w:highlight w:val="none"/>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auto"/>
                <w:sz w:val="20"/>
                <w:szCs w:val="20"/>
                <w:highlight w:val="none"/>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r>
    </w:tbl>
    <w:p>
      <w:pPr>
        <w:widowControl/>
        <w:rPr>
          <w:rFonts w:hint="eastAsia" w:ascii="宋体" w:hAnsi="宋体" w:eastAsia="宋体" w:cs="宋体"/>
          <w:color w:val="auto"/>
          <w:kern w:val="0"/>
          <w:sz w:val="20"/>
          <w:highlight w:val="none"/>
        </w:rPr>
        <w:sectPr>
          <w:pgSz w:w="16838" w:h="11905" w:orient="landscape"/>
          <w:pgMar w:top="1440" w:right="1797" w:bottom="1440" w:left="1797" w:header="851" w:footer="992" w:gutter="567"/>
          <w:pgBorders>
            <w:top w:val="none" w:sz="0" w:space="0"/>
            <w:left w:val="none" w:sz="0" w:space="0"/>
            <w:bottom w:val="none" w:sz="0" w:space="0"/>
            <w:right w:val="none" w:sz="0" w:space="0"/>
          </w:pgBorders>
          <w:pgNumType w:fmt="decimal"/>
          <w:cols w:space="720" w:num="1"/>
          <w:rtlGutter w:val="0"/>
          <w:docGrid w:type="lines" w:linePitch="317" w:charSpace="0"/>
        </w:sectPr>
      </w:pPr>
    </w:p>
    <w:tbl>
      <w:tblPr>
        <w:tblStyle w:val="24"/>
        <w:tblW w:w="9795" w:type="dxa"/>
        <w:tblInd w:w="-94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60"/>
        <w:gridCol w:w="1230"/>
        <w:gridCol w:w="1635"/>
        <w:gridCol w:w="1395"/>
        <w:gridCol w:w="1500"/>
        <w:gridCol w:w="2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9795" w:type="dxa"/>
            <w:gridSpan w:val="6"/>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kern w:val="0"/>
                <w:sz w:val="32"/>
                <w:szCs w:val="32"/>
                <w:highlight w:val="none"/>
                <w:u w:val="none"/>
                <w:lang w:val="en-US" w:eastAsia="zh-CN" w:bidi="ar"/>
              </w:rPr>
              <w:t xml:space="preserve">                云南建投第十建设有限公司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9795"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kern w:val="0"/>
                <w:sz w:val="32"/>
                <w:szCs w:val="32"/>
                <w:highlight w:val="none"/>
                <w:u w:val="none"/>
                <w:lang w:val="en-US" w:eastAsia="zh-CN" w:bidi="ar"/>
              </w:rPr>
              <w:t>安全文明施工、质量、进度、材料等工程扣罚款单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1560"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c>
          <w:tcPr>
            <w:tcW w:w="123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163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139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150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highlight w:val="none"/>
                <w:u w:val="none"/>
              </w:rPr>
            </w:pPr>
          </w:p>
        </w:tc>
        <w:tc>
          <w:tcPr>
            <w:tcW w:w="24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表单编号：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979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致：分包单位名称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项目名称</w:t>
            </w:r>
          </w:p>
        </w:tc>
        <w:tc>
          <w:tcPr>
            <w:tcW w:w="28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分包合同名称</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分包合同编号</w:t>
            </w:r>
          </w:p>
        </w:tc>
        <w:tc>
          <w:tcPr>
            <w:tcW w:w="28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结算期间</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扣款金额（元）</w:t>
            </w:r>
          </w:p>
        </w:tc>
        <w:tc>
          <w:tcPr>
            <w:tcW w:w="82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（人民币大写：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20" w:hRule="atLeast"/>
        </w:trPr>
        <w:tc>
          <w:tcPr>
            <w:tcW w:w="9795" w:type="dxa"/>
            <w:gridSpan w:val="6"/>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扣款说明：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60" w:hRule="atLeast"/>
        </w:trPr>
        <w:tc>
          <w:tcPr>
            <w:tcW w:w="9795" w:type="dxa"/>
            <w:gridSpan w:val="6"/>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根据现场</w:t>
            </w:r>
            <w:r>
              <w:rPr>
                <w:rFonts w:hint="eastAsia" w:ascii="宋体" w:hAnsi="宋体" w:eastAsia="宋体" w:cs="宋体"/>
                <w:i w:val="0"/>
                <w:color w:val="auto"/>
                <w:kern w:val="0"/>
                <w:sz w:val="20"/>
                <w:szCs w:val="20"/>
                <w:highlight w:val="none"/>
                <w:u w:val="single"/>
                <w:lang w:val="en-US" w:eastAsia="zh-CN" w:bidi="ar"/>
              </w:rPr>
              <w:t xml:space="preserve">                      </w:t>
            </w:r>
            <w:r>
              <w:rPr>
                <w:rFonts w:hint="eastAsia" w:ascii="宋体" w:hAnsi="宋体" w:eastAsia="宋体" w:cs="宋体"/>
                <w:i w:val="0"/>
                <w:color w:val="auto"/>
                <w:kern w:val="0"/>
                <w:sz w:val="20"/>
                <w:szCs w:val="20"/>
                <w:highlight w:val="none"/>
                <w:u w:val="none"/>
                <w:lang w:val="en-US" w:eastAsia="zh-CN" w:bidi="ar"/>
              </w:rPr>
              <w:t>或甲方下发的</w:t>
            </w:r>
            <w:r>
              <w:rPr>
                <w:rFonts w:hint="eastAsia" w:ascii="宋体" w:hAnsi="宋体" w:eastAsia="宋体" w:cs="宋体"/>
                <w:i w:val="0"/>
                <w:color w:val="auto"/>
                <w:kern w:val="0"/>
                <w:sz w:val="20"/>
                <w:szCs w:val="20"/>
                <w:highlight w:val="none"/>
                <w:u w:val="single"/>
                <w:lang w:val="en-US" w:eastAsia="zh-CN" w:bidi="ar"/>
              </w:rPr>
              <w:t xml:space="preserve">               </w:t>
            </w:r>
            <w:r>
              <w:rPr>
                <w:rFonts w:hint="eastAsia" w:ascii="宋体" w:hAnsi="宋体" w:eastAsia="宋体" w:cs="宋体"/>
                <w:i w:val="0"/>
                <w:color w:val="auto"/>
                <w:kern w:val="0"/>
                <w:sz w:val="20"/>
                <w:szCs w:val="20"/>
                <w:highlight w:val="none"/>
                <w:u w:val="none"/>
                <w:lang w:val="en-US" w:eastAsia="zh-CN" w:bidi="ar"/>
              </w:rPr>
              <w:t>（编号：</w:t>
            </w:r>
            <w:r>
              <w:rPr>
                <w:rFonts w:hint="eastAsia" w:ascii="宋体" w:hAnsi="宋体" w:eastAsia="宋体" w:cs="宋体"/>
                <w:i w:val="0"/>
                <w:color w:val="auto"/>
                <w:kern w:val="0"/>
                <w:sz w:val="20"/>
                <w:szCs w:val="20"/>
                <w:highlight w:val="none"/>
                <w:u w:val="single"/>
                <w:lang w:val="en-US" w:eastAsia="zh-CN" w:bidi="ar"/>
              </w:rPr>
              <w:t xml:space="preserve">     </w:t>
            </w:r>
            <w:r>
              <w:rPr>
                <w:rFonts w:hint="eastAsia" w:ascii="宋体" w:hAnsi="宋体" w:eastAsia="宋体" w:cs="宋体"/>
                <w:i w:val="0"/>
                <w:color w:val="auto"/>
                <w:kern w:val="0"/>
                <w:sz w:val="20"/>
                <w:szCs w:val="20"/>
                <w:highlight w:val="none"/>
                <w:u w:val="none"/>
                <w:lang w:val="en-US" w:eastAsia="zh-CN" w:bidi="ar"/>
              </w:rPr>
              <w:t xml:space="preserve"> ），现对贵司执行扣款，上述款项将在贵司工程进度款中扣除后。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0" w:hRule="atLeast"/>
        </w:trPr>
        <w:tc>
          <w:tcPr>
            <w:tcW w:w="9795"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特此通知。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279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经办人：</w:t>
            </w:r>
          </w:p>
        </w:tc>
        <w:tc>
          <w:tcPr>
            <w:tcW w:w="303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项目部门负责人：</w:t>
            </w:r>
          </w:p>
        </w:tc>
        <w:tc>
          <w:tcPr>
            <w:tcW w:w="397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项目经理：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日   期：</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日   期：</w:t>
            </w:r>
          </w:p>
        </w:tc>
        <w:tc>
          <w:tcPr>
            <w:tcW w:w="3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日   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0" w:hRule="atLeast"/>
        </w:trPr>
        <w:tc>
          <w:tcPr>
            <w:tcW w:w="9795"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备注：本通知一式四份，项目经办部门一份、项目成本部一份、分包单位两份。</w:t>
            </w:r>
          </w:p>
        </w:tc>
      </w:tr>
    </w:tbl>
    <w:p>
      <w:pPr>
        <w:pStyle w:val="3"/>
        <w:keepNext/>
        <w:keepLines/>
        <w:pageBreakBefore w:val="0"/>
        <w:widowControl w:val="0"/>
        <w:kinsoku/>
        <w:wordWrap/>
        <w:overflowPunct/>
        <w:topLinePunct w:val="0"/>
        <w:autoSpaceDE/>
        <w:autoSpaceDN/>
        <w:bidi w:val="0"/>
        <w:adjustRightInd/>
        <w:snapToGrid/>
        <w:spacing w:before="240" w:after="0" w:line="9600" w:lineRule="auto"/>
        <w:ind w:right="-504" w:rightChars="-240"/>
        <w:jc w:val="both"/>
        <w:textAlignment w:val="auto"/>
        <w:outlineLvl w:val="9"/>
        <w:rPr>
          <w:rFonts w:hint="eastAsia" w:ascii="宋体" w:hAnsi="宋体" w:eastAsia="宋体" w:cs="宋体"/>
          <w:color w:val="auto"/>
          <w:sz w:val="32"/>
          <w:szCs w:val="32"/>
          <w:highlight w:val="none"/>
        </w:rPr>
        <w:sectPr>
          <w:footerReference r:id="rId14" w:type="default"/>
          <w:pgSz w:w="11905" w:h="16838"/>
          <w:pgMar w:top="1440" w:right="1797" w:bottom="1440" w:left="1797" w:header="851" w:footer="992" w:gutter="567"/>
          <w:pgBorders>
            <w:top w:val="none" w:sz="0" w:space="0"/>
            <w:left w:val="none" w:sz="0" w:space="0"/>
            <w:bottom w:val="none" w:sz="0" w:space="0"/>
            <w:right w:val="none" w:sz="0" w:space="0"/>
          </w:pgBorders>
          <w:pgNumType w:fmt="decimal"/>
          <w:cols w:space="720" w:num="1"/>
          <w:rtlGutter w:val="0"/>
          <w:docGrid w:type="lines" w:linePitch="317" w:charSpace="0"/>
        </w:sectPr>
      </w:pPr>
    </w:p>
    <w:p>
      <w:pPr>
        <w:spacing w:before="0" w:after="0" w:line="360" w:lineRule="auto"/>
        <w:outlineLvl w:val="3"/>
        <w:rPr>
          <w:rFonts w:ascii="宋体" w:hAnsi="宋体" w:eastAsia="宋体" w:cs="宋体"/>
          <w:bCs w:val="0"/>
          <w:color w:val="auto"/>
          <w:sz w:val="24"/>
          <w:szCs w:val="24"/>
          <w:highlight w:val="none"/>
        </w:rPr>
      </w:pPr>
      <w:bookmarkStart w:id="230" w:name="_Toc29676"/>
      <w:bookmarkStart w:id="231" w:name="_Toc19328"/>
      <w:bookmarkStart w:id="232" w:name="_Toc18918"/>
      <w:bookmarkStart w:id="233" w:name="_Toc18385"/>
      <w:bookmarkStart w:id="234" w:name="_Toc31578"/>
      <w:bookmarkStart w:id="235" w:name="_Toc18944"/>
      <w:bookmarkStart w:id="236" w:name="_Toc2883"/>
      <w:bookmarkStart w:id="237" w:name="_Toc27575"/>
      <w:bookmarkStart w:id="238" w:name="_Toc1553"/>
      <w:bookmarkStart w:id="239" w:name="_Toc1549"/>
      <w:bookmarkStart w:id="240" w:name="_Toc19121"/>
      <w:bookmarkStart w:id="241" w:name="_Toc11665"/>
      <w:r>
        <w:rPr>
          <w:rFonts w:hint="eastAsia" w:ascii="宋体" w:hAnsi="宋体" w:eastAsia="宋体" w:cs="宋体"/>
          <w:bCs w:val="0"/>
          <w:color w:val="auto"/>
          <w:sz w:val="24"/>
          <w:szCs w:val="24"/>
          <w:highlight w:val="none"/>
          <w:lang w:val="en-US" w:eastAsia="zh-CN"/>
        </w:rPr>
        <w:t>二、</w:t>
      </w:r>
      <w:r>
        <w:rPr>
          <w:rFonts w:hint="eastAsia" w:ascii="宋体" w:hAnsi="宋体" w:eastAsia="宋体" w:cs="宋体"/>
          <w:bCs w:val="0"/>
          <w:color w:val="auto"/>
          <w:sz w:val="24"/>
          <w:szCs w:val="24"/>
          <w:highlight w:val="none"/>
        </w:rPr>
        <w:t>合同签证管理要求附表</w:t>
      </w:r>
      <w:bookmarkEnd w:id="230"/>
      <w:bookmarkEnd w:id="231"/>
      <w:bookmarkEnd w:id="232"/>
      <w:bookmarkEnd w:id="233"/>
      <w:bookmarkEnd w:id="234"/>
      <w:bookmarkEnd w:id="235"/>
      <w:bookmarkEnd w:id="236"/>
      <w:bookmarkEnd w:id="237"/>
      <w:bookmarkEnd w:id="238"/>
      <w:bookmarkEnd w:id="239"/>
      <w:bookmarkEnd w:id="240"/>
    </w:p>
    <w:p>
      <w:pPr>
        <w:spacing w:before="158" w:beforeLines="50" w:after="158" w:afterLines="50" w:line="360" w:lineRule="auto"/>
        <w:jc w:val="center"/>
        <w:outlineLvl w:val="9"/>
        <w:rPr>
          <w:rFonts w:hint="eastAsia" w:ascii="宋体" w:hAnsi="宋体" w:cs="宋体"/>
          <w:b/>
          <w:bCs/>
          <w:color w:val="auto"/>
          <w:kern w:val="0"/>
          <w:sz w:val="32"/>
          <w:szCs w:val="32"/>
          <w:highlight w:val="none"/>
        </w:rPr>
      </w:pPr>
      <w:bookmarkStart w:id="242" w:name="_Toc23246"/>
      <w:bookmarkStart w:id="243" w:name="_Toc8324"/>
      <w:r>
        <w:rPr>
          <w:rFonts w:hint="eastAsia" w:ascii="宋体" w:hAnsi="宋体" w:cs="宋体"/>
          <w:b/>
          <w:bCs/>
          <w:color w:val="auto"/>
          <w:kern w:val="0"/>
          <w:sz w:val="32"/>
          <w:szCs w:val="32"/>
          <w:highlight w:val="none"/>
        </w:rPr>
        <w:t>现场签证意向申请单</w:t>
      </w:r>
      <w:bookmarkEnd w:id="242"/>
      <w:bookmarkEnd w:id="243"/>
    </w:p>
    <w:p>
      <w:pPr>
        <w:widowControl/>
        <w:jc w:val="center"/>
        <w:rPr>
          <w:rFonts w:hint="eastAsia" w:ascii="宋体" w:hAnsi="宋体" w:cs="宋体"/>
          <w:color w:val="auto"/>
          <w:kern w:val="0"/>
          <w:sz w:val="20"/>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 w:val="20"/>
          <w:highlight w:val="none"/>
        </w:rPr>
        <w:t xml:space="preserve">   编号（连续编号）：</w:t>
      </w:r>
    </w:p>
    <w:tbl>
      <w:tblPr>
        <w:tblStyle w:val="24"/>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0"/>
        <w:gridCol w:w="2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130" w:type="dxa"/>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项目名称</w:t>
            </w:r>
          </w:p>
        </w:tc>
        <w:tc>
          <w:tcPr>
            <w:tcW w:w="2130" w:type="dxa"/>
          </w:tcPr>
          <w:p>
            <w:pPr>
              <w:widowControl/>
              <w:jc w:val="left"/>
              <w:rPr>
                <w:rFonts w:hint="eastAsia" w:ascii="宋体" w:hAnsi="宋体" w:cs="宋体"/>
                <w:color w:val="auto"/>
                <w:kern w:val="0"/>
                <w:sz w:val="20"/>
                <w:highlight w:val="none"/>
              </w:rPr>
            </w:pPr>
          </w:p>
        </w:tc>
        <w:tc>
          <w:tcPr>
            <w:tcW w:w="2130" w:type="dxa"/>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分包单位</w:t>
            </w:r>
          </w:p>
        </w:tc>
        <w:tc>
          <w:tcPr>
            <w:tcW w:w="2223" w:type="dxa"/>
          </w:tcPr>
          <w:p>
            <w:pPr>
              <w:widowControl/>
              <w:jc w:val="left"/>
              <w:rPr>
                <w:rFonts w:hint="eastAsia" w:ascii="宋体" w:hAnsi="宋体" w:cs="宋体"/>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130" w:type="dxa"/>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lang w:val="en-US" w:eastAsia="zh-CN"/>
              </w:rPr>
              <w:t>分包</w:t>
            </w:r>
            <w:r>
              <w:rPr>
                <w:rFonts w:hint="eastAsia" w:ascii="宋体" w:hAnsi="宋体" w:cs="宋体"/>
                <w:color w:val="auto"/>
                <w:kern w:val="0"/>
                <w:sz w:val="20"/>
                <w:highlight w:val="none"/>
              </w:rPr>
              <w:t>合同名称</w:t>
            </w:r>
          </w:p>
        </w:tc>
        <w:tc>
          <w:tcPr>
            <w:tcW w:w="2130" w:type="dxa"/>
          </w:tcPr>
          <w:p>
            <w:pPr>
              <w:widowControl/>
              <w:jc w:val="left"/>
              <w:rPr>
                <w:rFonts w:hint="eastAsia" w:ascii="宋体" w:hAnsi="宋体" w:cs="宋体"/>
                <w:color w:val="auto"/>
                <w:kern w:val="0"/>
                <w:sz w:val="20"/>
                <w:highlight w:val="none"/>
              </w:rPr>
            </w:pPr>
          </w:p>
        </w:tc>
        <w:tc>
          <w:tcPr>
            <w:tcW w:w="2130" w:type="dxa"/>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lang w:val="en-US" w:eastAsia="zh-CN"/>
              </w:rPr>
              <w:t>分包</w:t>
            </w:r>
            <w:r>
              <w:rPr>
                <w:rFonts w:hint="eastAsia" w:ascii="宋体" w:hAnsi="宋体" w:cs="宋体"/>
                <w:color w:val="auto"/>
                <w:kern w:val="0"/>
                <w:sz w:val="20"/>
                <w:highlight w:val="none"/>
              </w:rPr>
              <w:t>合同编号</w:t>
            </w:r>
          </w:p>
        </w:tc>
        <w:tc>
          <w:tcPr>
            <w:tcW w:w="2223" w:type="dxa"/>
          </w:tcPr>
          <w:p>
            <w:pPr>
              <w:widowControl/>
              <w:jc w:val="left"/>
              <w:rPr>
                <w:rFonts w:hint="eastAsia" w:ascii="宋体" w:hAnsi="宋体" w:cs="宋体"/>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通知/指令        收到日期</w:t>
            </w:r>
          </w:p>
        </w:tc>
        <w:tc>
          <w:tcPr>
            <w:tcW w:w="2130" w:type="dxa"/>
          </w:tcPr>
          <w:p>
            <w:pPr>
              <w:widowControl/>
              <w:jc w:val="left"/>
              <w:rPr>
                <w:rFonts w:hint="eastAsia" w:ascii="宋体" w:hAnsi="宋体" w:cs="宋体"/>
                <w:color w:val="auto"/>
                <w:kern w:val="0"/>
                <w:sz w:val="20"/>
                <w:highlight w:val="none"/>
              </w:rPr>
            </w:pPr>
          </w:p>
        </w:tc>
        <w:tc>
          <w:tcPr>
            <w:tcW w:w="2130" w:type="dxa"/>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预计签证工程     起止时间</w:t>
            </w:r>
          </w:p>
        </w:tc>
        <w:tc>
          <w:tcPr>
            <w:tcW w:w="2223" w:type="dxa"/>
          </w:tcPr>
          <w:p>
            <w:pPr>
              <w:widowControl/>
              <w:jc w:val="left"/>
              <w:rPr>
                <w:rFonts w:hint="eastAsia" w:ascii="宋体" w:hAnsi="宋体" w:cs="宋体"/>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签证原因</w:t>
            </w:r>
          </w:p>
        </w:tc>
        <w:tc>
          <w:tcPr>
            <w:tcW w:w="6483" w:type="dxa"/>
            <w:gridSpan w:val="3"/>
          </w:tcPr>
          <w:p>
            <w:pPr>
              <w:widowControl/>
              <w:jc w:val="left"/>
              <w:rPr>
                <w:rFonts w:hint="eastAsia" w:ascii="宋体" w:hAnsi="宋体" w:cs="宋体"/>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3" w:type="dxa"/>
            <w:gridSpan w:val="4"/>
          </w:tcPr>
          <w:p>
            <w:pPr>
              <w:widowControl/>
              <w:numPr>
                <w:ilvl w:val="0"/>
                <w:numId w:val="2"/>
              </w:numPr>
              <w:jc w:val="left"/>
              <w:rPr>
                <w:rFonts w:hint="eastAsia" w:ascii="宋体" w:hAnsi="宋体" w:cs="宋体"/>
                <w:color w:val="auto"/>
                <w:kern w:val="0"/>
                <w:sz w:val="20"/>
                <w:highlight w:val="none"/>
              </w:rPr>
            </w:pPr>
            <w:r>
              <w:rPr>
                <w:rFonts w:hint="eastAsia" w:ascii="宋体" w:hAnsi="宋体" w:cs="宋体"/>
                <w:color w:val="auto"/>
                <w:kern w:val="0"/>
                <w:sz w:val="20"/>
                <w:highlight w:val="none"/>
              </w:rPr>
              <w:t>预计发生签证事实描述：</w:t>
            </w:r>
          </w:p>
          <w:p>
            <w:pPr>
              <w:widowControl/>
              <w:jc w:val="left"/>
              <w:rPr>
                <w:rFonts w:hint="eastAsia" w:ascii="宋体" w:hAnsi="宋体" w:cs="宋体"/>
                <w:color w:val="auto"/>
                <w:sz w:val="20"/>
                <w:highlight w:val="none"/>
              </w:rPr>
            </w:pPr>
          </w:p>
          <w:p>
            <w:pPr>
              <w:widowControl/>
              <w:numPr>
                <w:ilvl w:val="0"/>
                <w:numId w:val="2"/>
              </w:numPr>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签证意向（补偿费用或工期要求） </w:t>
            </w:r>
          </w:p>
          <w:p>
            <w:pPr>
              <w:widowControl/>
              <w:jc w:val="left"/>
              <w:rPr>
                <w:rFonts w:hint="eastAsia" w:ascii="宋体" w:hAnsi="宋体" w:cs="宋体"/>
                <w:color w:val="auto"/>
                <w:kern w:val="0"/>
                <w:sz w:val="20"/>
                <w:highlight w:val="none"/>
              </w:rPr>
            </w:pPr>
          </w:p>
          <w:p>
            <w:pPr>
              <w:widowControl/>
              <w:numPr>
                <w:ilvl w:val="0"/>
                <w:numId w:val="2"/>
              </w:numPr>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附件：（各类工作联系单及附图） </w:t>
            </w:r>
          </w:p>
          <w:p>
            <w:pPr>
              <w:widowControl/>
              <w:ind w:firstLine="3400" w:firstLineChars="1700"/>
              <w:jc w:val="left"/>
              <w:rPr>
                <w:rFonts w:hint="eastAsia" w:ascii="宋体" w:hAnsi="宋体" w:cs="宋体"/>
                <w:color w:val="auto"/>
                <w:kern w:val="0"/>
                <w:sz w:val="20"/>
                <w:highlight w:val="none"/>
              </w:rPr>
            </w:pPr>
            <w:r>
              <w:rPr>
                <w:rFonts w:hint="eastAsia" w:ascii="宋体" w:hAnsi="宋体" w:cs="宋体"/>
                <w:color w:val="auto"/>
                <w:kern w:val="0"/>
                <w:sz w:val="20"/>
                <w:highlight w:val="none"/>
              </w:rPr>
              <w:t>分包单位：（盖章）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3" w:type="dxa"/>
            <w:gridSpan w:val="4"/>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项目</w:t>
            </w:r>
            <w:r>
              <w:rPr>
                <w:rFonts w:hint="eastAsia" w:ascii="宋体" w:hAnsi="宋体" w:cs="宋体"/>
                <w:color w:val="auto"/>
                <w:kern w:val="0"/>
                <w:sz w:val="20"/>
                <w:highlight w:val="none"/>
                <w:lang w:val="en-US" w:eastAsia="zh-CN"/>
              </w:rPr>
              <w:t>工长</w:t>
            </w:r>
            <w:r>
              <w:rPr>
                <w:rFonts w:hint="eastAsia" w:ascii="宋体" w:hAnsi="宋体" w:cs="宋体"/>
                <w:color w:val="auto"/>
                <w:kern w:val="0"/>
                <w:sz w:val="20"/>
                <w:highlight w:val="none"/>
              </w:rPr>
              <w:t xml:space="preserve">审核意见： </w:t>
            </w:r>
          </w:p>
          <w:p>
            <w:pPr>
              <w:widowControl/>
              <w:jc w:val="left"/>
              <w:rPr>
                <w:rFonts w:hint="eastAsia" w:ascii="宋体" w:hAnsi="宋体" w:cs="宋体"/>
                <w:color w:val="auto"/>
                <w:kern w:val="0"/>
                <w:sz w:val="20"/>
                <w:highlight w:val="none"/>
              </w:rPr>
            </w:pPr>
          </w:p>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经办人：                               </w:t>
            </w:r>
            <w:r>
              <w:rPr>
                <w:rFonts w:hint="eastAsia" w:ascii="宋体" w:hAnsi="宋体" w:cs="宋体"/>
                <w:color w:val="auto"/>
                <w:kern w:val="0"/>
                <w:sz w:val="20"/>
                <w:highlight w:val="none"/>
                <w:lang w:val="en-US" w:eastAsia="zh-CN"/>
              </w:rPr>
              <w:t xml:space="preserve">                     </w:t>
            </w:r>
            <w:r>
              <w:rPr>
                <w:rFonts w:hint="eastAsia" w:ascii="宋体" w:hAnsi="宋体" w:cs="宋体"/>
                <w:color w:val="auto"/>
                <w:kern w:val="0"/>
                <w:sz w:val="20"/>
                <w:highlight w:val="none"/>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3" w:type="dxa"/>
            <w:gridSpan w:val="4"/>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项目</w:t>
            </w:r>
            <w:r>
              <w:rPr>
                <w:rFonts w:hint="eastAsia" w:ascii="宋体" w:hAnsi="宋体" w:cs="宋体"/>
                <w:color w:val="auto"/>
                <w:kern w:val="0"/>
                <w:sz w:val="20"/>
                <w:highlight w:val="none"/>
                <w:lang w:val="en-US" w:eastAsia="zh-CN"/>
              </w:rPr>
              <w:t>安全员</w:t>
            </w:r>
            <w:r>
              <w:rPr>
                <w:rFonts w:hint="eastAsia" w:ascii="宋体" w:hAnsi="宋体" w:cs="宋体"/>
                <w:color w:val="auto"/>
                <w:kern w:val="0"/>
                <w:sz w:val="20"/>
                <w:highlight w:val="none"/>
              </w:rPr>
              <w:t xml:space="preserve">审核意见： </w:t>
            </w:r>
          </w:p>
          <w:p>
            <w:pPr>
              <w:widowControl/>
              <w:jc w:val="left"/>
              <w:rPr>
                <w:rFonts w:hint="eastAsia" w:ascii="宋体" w:hAnsi="宋体" w:cs="宋体"/>
                <w:color w:val="auto"/>
                <w:kern w:val="0"/>
                <w:sz w:val="20"/>
                <w:highlight w:val="none"/>
              </w:rPr>
            </w:pPr>
          </w:p>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经办人：                                         </w:t>
            </w:r>
            <w:r>
              <w:rPr>
                <w:rFonts w:hint="eastAsia" w:ascii="宋体" w:hAnsi="宋体" w:cs="宋体"/>
                <w:color w:val="auto"/>
                <w:kern w:val="0"/>
                <w:sz w:val="20"/>
                <w:highlight w:val="none"/>
                <w:lang w:val="en-US" w:eastAsia="zh-CN"/>
              </w:rPr>
              <w:t xml:space="preserve">            </w:t>
            </w:r>
            <w:r>
              <w:rPr>
                <w:rFonts w:hint="eastAsia" w:ascii="宋体" w:hAnsi="宋体" w:cs="宋体"/>
                <w:color w:val="auto"/>
                <w:kern w:val="0"/>
                <w:sz w:val="20"/>
                <w:highlight w:val="none"/>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3" w:type="dxa"/>
            <w:gridSpan w:val="4"/>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项目</w:t>
            </w:r>
            <w:r>
              <w:rPr>
                <w:rFonts w:hint="eastAsia" w:ascii="宋体" w:hAnsi="宋体" w:cs="宋体"/>
                <w:color w:val="auto"/>
                <w:kern w:val="0"/>
                <w:sz w:val="20"/>
                <w:highlight w:val="none"/>
                <w:lang w:val="en-US" w:eastAsia="zh-CN"/>
              </w:rPr>
              <w:t>质量员</w:t>
            </w:r>
            <w:r>
              <w:rPr>
                <w:rFonts w:hint="eastAsia" w:ascii="宋体" w:hAnsi="宋体" w:cs="宋体"/>
                <w:color w:val="auto"/>
                <w:kern w:val="0"/>
                <w:sz w:val="20"/>
                <w:highlight w:val="none"/>
              </w:rPr>
              <w:t>审核意见：</w:t>
            </w:r>
          </w:p>
          <w:p>
            <w:pPr>
              <w:widowControl/>
              <w:jc w:val="left"/>
              <w:rPr>
                <w:rFonts w:hint="eastAsia" w:ascii="宋体" w:hAnsi="宋体" w:cs="宋体"/>
                <w:color w:val="auto"/>
                <w:kern w:val="0"/>
                <w:sz w:val="20"/>
                <w:highlight w:val="none"/>
              </w:rPr>
            </w:pPr>
          </w:p>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经办人：                </w:t>
            </w:r>
            <w:r>
              <w:rPr>
                <w:rFonts w:hint="eastAsia" w:ascii="宋体" w:hAnsi="宋体" w:cs="宋体"/>
                <w:color w:val="auto"/>
                <w:kern w:val="0"/>
                <w:sz w:val="20"/>
                <w:highlight w:val="none"/>
                <w:lang w:val="en-US" w:eastAsia="zh-CN"/>
              </w:rPr>
              <w:t xml:space="preserve">             </w:t>
            </w:r>
            <w:r>
              <w:rPr>
                <w:rFonts w:hint="eastAsia" w:ascii="宋体" w:hAnsi="宋体" w:cs="宋体"/>
                <w:color w:val="auto"/>
                <w:kern w:val="0"/>
                <w:sz w:val="20"/>
                <w:highlight w:val="none"/>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3" w:type="dxa"/>
            <w:gridSpan w:val="4"/>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项目</w:t>
            </w:r>
            <w:r>
              <w:rPr>
                <w:rFonts w:hint="eastAsia" w:ascii="宋体" w:hAnsi="宋体" w:cs="宋体"/>
                <w:color w:val="auto"/>
                <w:kern w:val="0"/>
                <w:sz w:val="20"/>
                <w:highlight w:val="none"/>
                <w:lang w:val="en-US" w:eastAsia="zh-CN"/>
              </w:rPr>
              <w:t>技术员</w:t>
            </w:r>
            <w:r>
              <w:rPr>
                <w:rFonts w:hint="eastAsia" w:ascii="宋体" w:hAnsi="宋体" w:cs="宋体"/>
                <w:color w:val="auto"/>
                <w:kern w:val="0"/>
                <w:sz w:val="20"/>
                <w:highlight w:val="none"/>
              </w:rPr>
              <w:t xml:space="preserve">审核意见： </w:t>
            </w:r>
          </w:p>
          <w:p>
            <w:pPr>
              <w:widowControl/>
              <w:jc w:val="left"/>
              <w:rPr>
                <w:rFonts w:hint="eastAsia" w:ascii="宋体" w:hAnsi="宋体" w:cs="宋体"/>
                <w:color w:val="auto"/>
                <w:kern w:val="0"/>
                <w:sz w:val="20"/>
                <w:highlight w:val="none"/>
              </w:rPr>
            </w:pPr>
          </w:p>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经办人：                                         </w:t>
            </w:r>
            <w:r>
              <w:rPr>
                <w:rFonts w:hint="eastAsia" w:ascii="宋体" w:hAnsi="宋体" w:cs="宋体"/>
                <w:color w:val="auto"/>
                <w:kern w:val="0"/>
                <w:sz w:val="20"/>
                <w:highlight w:val="none"/>
                <w:lang w:val="en-US" w:eastAsia="zh-CN"/>
              </w:rPr>
              <w:t xml:space="preserve">            </w:t>
            </w:r>
            <w:r>
              <w:rPr>
                <w:rFonts w:hint="eastAsia" w:ascii="宋体" w:hAnsi="宋体" w:cs="宋体"/>
                <w:color w:val="auto"/>
                <w:kern w:val="0"/>
                <w:sz w:val="20"/>
                <w:highlight w:val="none"/>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3" w:type="dxa"/>
            <w:gridSpan w:val="4"/>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项目</w:t>
            </w:r>
            <w:r>
              <w:rPr>
                <w:rFonts w:hint="eastAsia" w:ascii="宋体" w:hAnsi="宋体" w:cs="宋体"/>
                <w:color w:val="auto"/>
                <w:kern w:val="0"/>
                <w:sz w:val="20"/>
                <w:highlight w:val="none"/>
                <w:lang w:val="en-US" w:eastAsia="zh-CN"/>
              </w:rPr>
              <w:t>预算员</w:t>
            </w:r>
            <w:r>
              <w:rPr>
                <w:rFonts w:hint="eastAsia" w:ascii="宋体" w:hAnsi="宋体" w:cs="宋体"/>
                <w:color w:val="auto"/>
                <w:kern w:val="0"/>
                <w:sz w:val="20"/>
                <w:highlight w:val="none"/>
              </w:rPr>
              <w:t>审核意见：</w:t>
            </w:r>
          </w:p>
          <w:p>
            <w:pPr>
              <w:widowControl/>
              <w:jc w:val="left"/>
              <w:rPr>
                <w:rFonts w:hint="eastAsia" w:ascii="宋体" w:hAnsi="宋体" w:cs="宋体"/>
                <w:color w:val="auto"/>
                <w:kern w:val="0"/>
                <w:sz w:val="20"/>
                <w:highlight w:val="none"/>
              </w:rPr>
            </w:pPr>
          </w:p>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经办人：                </w:t>
            </w:r>
            <w:r>
              <w:rPr>
                <w:rFonts w:hint="eastAsia" w:ascii="宋体" w:hAnsi="宋体" w:cs="宋体"/>
                <w:color w:val="auto"/>
                <w:kern w:val="0"/>
                <w:sz w:val="20"/>
                <w:highlight w:val="none"/>
                <w:lang w:val="en-US" w:eastAsia="zh-CN"/>
              </w:rPr>
              <w:t xml:space="preserve">             </w:t>
            </w:r>
            <w:r>
              <w:rPr>
                <w:rFonts w:hint="eastAsia" w:ascii="宋体" w:hAnsi="宋体" w:cs="宋体"/>
                <w:color w:val="auto"/>
                <w:kern w:val="0"/>
                <w:sz w:val="20"/>
                <w:highlight w:val="none"/>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3" w:type="dxa"/>
            <w:gridSpan w:val="4"/>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项目经理审核意见： </w:t>
            </w:r>
          </w:p>
          <w:p>
            <w:pPr>
              <w:widowControl/>
              <w:jc w:val="left"/>
              <w:rPr>
                <w:rFonts w:hint="eastAsia" w:ascii="宋体" w:hAnsi="宋体" w:cs="宋体"/>
                <w:color w:val="auto"/>
                <w:kern w:val="0"/>
                <w:sz w:val="20"/>
                <w:highlight w:val="none"/>
              </w:rPr>
            </w:pPr>
          </w:p>
          <w:p>
            <w:pPr>
              <w:widowControl/>
              <w:jc w:val="both"/>
              <w:rPr>
                <w:rFonts w:hint="eastAsia" w:ascii="宋体" w:hAnsi="宋体" w:cs="宋体"/>
                <w:color w:val="auto"/>
                <w:kern w:val="0"/>
                <w:sz w:val="20"/>
                <w:highlight w:val="none"/>
              </w:rPr>
            </w:pPr>
            <w:r>
              <w:rPr>
                <w:rFonts w:hint="eastAsia" w:ascii="宋体" w:hAnsi="宋体" w:cs="宋体"/>
                <w:color w:val="auto"/>
                <w:kern w:val="0"/>
                <w:sz w:val="20"/>
                <w:highlight w:val="none"/>
                <w:lang w:val="en-US" w:eastAsia="zh-CN"/>
              </w:rPr>
              <w:t>项目经理：</w:t>
            </w:r>
            <w:r>
              <w:rPr>
                <w:rFonts w:hint="eastAsia" w:ascii="宋体" w:hAnsi="宋体" w:cs="宋体"/>
                <w:color w:val="auto"/>
                <w:kern w:val="0"/>
                <w:sz w:val="20"/>
                <w:highlight w:val="none"/>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3" w:type="dxa"/>
            <w:gridSpan w:val="4"/>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直管部/分公司审核意见：</w:t>
            </w:r>
          </w:p>
          <w:p>
            <w:pPr>
              <w:widowControl/>
              <w:jc w:val="left"/>
              <w:rPr>
                <w:rFonts w:hint="eastAsia" w:ascii="宋体" w:hAnsi="宋体" w:cs="宋体"/>
                <w:color w:val="auto"/>
                <w:kern w:val="0"/>
                <w:sz w:val="20"/>
                <w:highlight w:val="none"/>
              </w:rPr>
            </w:pPr>
          </w:p>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主任经济师：          </w:t>
            </w:r>
            <w:r>
              <w:rPr>
                <w:rFonts w:hint="eastAsia" w:ascii="宋体" w:hAnsi="宋体" w:cs="宋体"/>
                <w:color w:val="auto"/>
                <w:kern w:val="0"/>
                <w:sz w:val="20"/>
                <w:highlight w:val="none"/>
                <w:lang w:val="en-US" w:eastAsia="zh-CN"/>
              </w:rPr>
              <w:t xml:space="preserve">        </w:t>
            </w:r>
            <w:r>
              <w:rPr>
                <w:rFonts w:hint="eastAsia" w:ascii="宋体" w:hAnsi="宋体" w:cs="宋体"/>
                <w:color w:val="auto"/>
                <w:kern w:val="0"/>
                <w:sz w:val="20"/>
                <w:highlight w:val="none"/>
              </w:rPr>
              <w:t xml:space="preserve">  直管部经理：                 </w:t>
            </w:r>
            <w:r>
              <w:rPr>
                <w:rFonts w:hint="eastAsia" w:ascii="宋体" w:hAnsi="宋体" w:cs="宋体"/>
                <w:color w:val="auto"/>
                <w:kern w:val="0"/>
                <w:sz w:val="20"/>
                <w:highlight w:val="none"/>
                <w:lang w:val="en-US" w:eastAsia="zh-CN"/>
              </w:rPr>
              <w:t xml:space="preserve"> </w:t>
            </w:r>
            <w:r>
              <w:rPr>
                <w:rFonts w:hint="eastAsia" w:ascii="宋体" w:hAnsi="宋体" w:cs="宋体"/>
                <w:color w:val="auto"/>
                <w:kern w:val="0"/>
                <w:sz w:val="20"/>
                <w:highlight w:val="none"/>
              </w:rPr>
              <w:t>日期：</w:t>
            </w:r>
          </w:p>
        </w:tc>
      </w:tr>
    </w:tbl>
    <w:p>
      <w:pPr>
        <w:widowControl/>
        <w:numPr>
          <w:ilvl w:val="0"/>
          <w:numId w:val="11"/>
        </w:numPr>
        <w:ind w:left="400" w:leftChars="0" w:right="796" w:rightChars="379" w:firstLine="0" w:firstLineChars="0"/>
        <w:rPr>
          <w:rFonts w:hint="eastAsia" w:ascii="宋体" w:hAnsi="宋体" w:cs="宋体"/>
          <w:color w:val="auto"/>
          <w:kern w:val="0"/>
          <w:sz w:val="20"/>
          <w:highlight w:val="none"/>
        </w:rPr>
      </w:pPr>
      <w:r>
        <w:rPr>
          <w:rFonts w:hint="eastAsia" w:ascii="宋体" w:hAnsi="宋体" w:cs="宋体"/>
          <w:color w:val="auto"/>
          <w:kern w:val="0"/>
          <w:sz w:val="20"/>
          <w:highlight w:val="none"/>
        </w:rPr>
        <w:t>本表一式五份,项目工程部、技术部、成本部各一份，分包单位两份。需公司/直管部审批的</w:t>
      </w:r>
    </w:p>
    <w:p>
      <w:pPr>
        <w:widowControl/>
        <w:numPr>
          <w:ilvl w:val="0"/>
          <w:numId w:val="0"/>
        </w:numPr>
        <w:ind w:left="400" w:leftChars="0" w:right="796" w:rightChars="379"/>
        <w:rPr>
          <w:rFonts w:hint="eastAsia" w:ascii="宋体" w:hAnsi="宋体" w:cs="宋体"/>
          <w:color w:val="auto"/>
          <w:sz w:val="20"/>
          <w:highlight w:val="none"/>
        </w:rPr>
      </w:pPr>
      <w:r>
        <w:rPr>
          <w:rFonts w:hint="eastAsia" w:ascii="宋体" w:hAnsi="宋体" w:cs="宋体"/>
          <w:color w:val="auto"/>
          <w:kern w:val="0"/>
          <w:sz w:val="20"/>
          <w:highlight w:val="none"/>
        </w:rPr>
        <w:t xml:space="preserve">各增加一份。 </w:t>
      </w:r>
    </w:p>
    <w:p>
      <w:pPr>
        <w:widowControl/>
        <w:ind w:right="796" w:rightChars="379" w:firstLine="400" w:firstLineChars="200"/>
        <w:jc w:val="left"/>
        <w:rPr>
          <w:rFonts w:hint="eastAsia" w:ascii="宋体" w:hAnsi="宋体" w:cs="宋体"/>
          <w:color w:val="auto"/>
          <w:sz w:val="20"/>
          <w:highlight w:val="none"/>
        </w:rPr>
      </w:pPr>
      <w:r>
        <w:rPr>
          <w:rFonts w:hint="eastAsia" w:ascii="宋体" w:hAnsi="宋体" w:cs="宋体"/>
          <w:color w:val="auto"/>
          <w:kern w:val="0"/>
          <w:sz w:val="20"/>
          <w:highlight w:val="none"/>
        </w:rPr>
        <w:t xml:space="preserve">2、项目工程部负责填写连续编号，对签证必要性做说明；项目成本部对资料要求、时限作说明。 </w:t>
      </w:r>
    </w:p>
    <w:p>
      <w:pPr>
        <w:widowControl/>
        <w:ind w:firstLine="400" w:firstLineChars="200"/>
        <w:jc w:val="left"/>
        <w:rPr>
          <w:rFonts w:hint="eastAsia" w:ascii="宋体" w:hAnsi="宋体" w:eastAsia="宋体" w:cs="宋体"/>
          <w:color w:val="auto"/>
          <w:kern w:val="0"/>
          <w:sz w:val="20"/>
          <w:highlight w:val="none"/>
          <w:lang w:eastAsia="zh-CN"/>
        </w:rPr>
        <w:sectPr>
          <w:footerReference r:id="rId15" w:type="default"/>
          <w:pgSz w:w="11905" w:h="16838"/>
          <w:pgMar w:top="1440" w:right="1797" w:bottom="1440" w:left="1797" w:header="851" w:footer="992" w:gutter="567"/>
          <w:pgBorders>
            <w:top w:val="none" w:sz="0" w:space="0"/>
            <w:left w:val="none" w:sz="0" w:space="0"/>
            <w:bottom w:val="none" w:sz="0" w:space="0"/>
            <w:right w:val="none" w:sz="0" w:space="0"/>
          </w:pgBorders>
          <w:pgNumType w:fmt="decimal"/>
          <w:cols w:space="720" w:num="1"/>
          <w:rtlGutter w:val="0"/>
          <w:docGrid w:type="lines" w:linePitch="317" w:charSpace="0"/>
        </w:sectPr>
      </w:pPr>
      <w:r>
        <w:rPr>
          <w:rFonts w:hint="eastAsia" w:ascii="宋体" w:hAnsi="宋体" w:cs="宋体"/>
          <w:color w:val="auto"/>
          <w:kern w:val="0"/>
          <w:sz w:val="20"/>
          <w:highlight w:val="none"/>
        </w:rPr>
        <w:t>3、本表作为现场签证单附件使用（独立使用不具有任何经济效力）</w:t>
      </w:r>
      <w:r>
        <w:rPr>
          <w:rFonts w:hint="eastAsia" w:ascii="宋体" w:hAnsi="宋体" w:cs="宋体"/>
          <w:color w:val="auto"/>
          <w:kern w:val="0"/>
          <w:sz w:val="20"/>
          <w:highlight w:val="none"/>
          <w:lang w:eastAsia="zh-CN"/>
        </w:rPr>
        <w:t>。</w:t>
      </w:r>
    </w:p>
    <w:p>
      <w:pPr>
        <w:spacing w:before="158" w:beforeLines="50" w:after="158" w:afterLines="50" w:line="360" w:lineRule="auto"/>
        <w:jc w:val="center"/>
        <w:outlineLvl w:val="9"/>
        <w:rPr>
          <w:rFonts w:hint="eastAsia" w:ascii="宋体" w:hAnsi="宋体" w:cs="宋体"/>
          <w:b/>
          <w:bCs/>
          <w:color w:val="auto"/>
          <w:kern w:val="0"/>
          <w:sz w:val="32"/>
          <w:szCs w:val="32"/>
          <w:highlight w:val="none"/>
        </w:rPr>
      </w:pPr>
      <w:bookmarkStart w:id="244" w:name="_Toc19987"/>
      <w:bookmarkStart w:id="245" w:name="_Toc22499"/>
      <w:r>
        <w:rPr>
          <w:rFonts w:hint="eastAsia" w:ascii="宋体" w:hAnsi="宋体" w:cs="宋体"/>
          <w:b/>
          <w:bCs/>
          <w:color w:val="auto"/>
          <w:kern w:val="0"/>
          <w:sz w:val="32"/>
          <w:szCs w:val="32"/>
          <w:highlight w:val="none"/>
        </w:rPr>
        <w:t>现 场 签 证 单</w:t>
      </w:r>
      <w:bookmarkEnd w:id="244"/>
      <w:bookmarkEnd w:id="245"/>
    </w:p>
    <w:p>
      <w:pPr>
        <w:ind w:firstLine="400" w:firstLineChars="200"/>
        <w:rPr>
          <w:rFonts w:hint="eastAsia"/>
          <w:color w:val="auto"/>
          <w:sz w:val="20"/>
          <w:highlight w:val="none"/>
        </w:rPr>
      </w:pPr>
      <w:r>
        <w:rPr>
          <w:rFonts w:hint="eastAsia"/>
          <w:color w:val="auto"/>
          <w:sz w:val="20"/>
          <w:highlight w:val="none"/>
        </w:rPr>
        <w:t>现场签证单编号：</w:t>
      </w:r>
    </w:p>
    <w:tbl>
      <w:tblPr>
        <w:tblStyle w:val="24"/>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130"/>
        <w:gridCol w:w="2130"/>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39" w:type="dxa"/>
            <w:vAlign w:val="center"/>
          </w:tcPr>
          <w:p>
            <w:pPr>
              <w:widowControl/>
              <w:jc w:val="center"/>
              <w:rPr>
                <w:rFonts w:hint="eastAsia" w:ascii="宋体" w:hAnsi="宋体" w:cs="宋体"/>
                <w:b/>
                <w:color w:val="auto"/>
                <w:kern w:val="0"/>
                <w:sz w:val="20"/>
                <w:highlight w:val="none"/>
              </w:rPr>
            </w:pPr>
            <w:r>
              <w:rPr>
                <w:rFonts w:hint="eastAsia" w:ascii="宋体" w:hAnsi="宋体" w:cs="宋体"/>
                <w:color w:val="auto"/>
                <w:kern w:val="0"/>
                <w:sz w:val="20"/>
                <w:highlight w:val="none"/>
              </w:rPr>
              <w:t>项目名称</w:t>
            </w:r>
          </w:p>
        </w:tc>
        <w:tc>
          <w:tcPr>
            <w:tcW w:w="2130" w:type="dxa"/>
            <w:vAlign w:val="center"/>
          </w:tcPr>
          <w:p>
            <w:pPr>
              <w:widowControl/>
              <w:jc w:val="center"/>
              <w:rPr>
                <w:rFonts w:hint="eastAsia" w:ascii="宋体" w:hAnsi="宋体" w:cs="宋体"/>
                <w:b/>
                <w:color w:val="auto"/>
                <w:kern w:val="0"/>
                <w:sz w:val="20"/>
                <w:highlight w:val="none"/>
              </w:rPr>
            </w:pPr>
          </w:p>
        </w:tc>
        <w:tc>
          <w:tcPr>
            <w:tcW w:w="2130" w:type="dxa"/>
            <w:vAlign w:val="center"/>
          </w:tcPr>
          <w:p>
            <w:pPr>
              <w:widowControl/>
              <w:jc w:val="center"/>
              <w:rPr>
                <w:rFonts w:hint="eastAsia" w:ascii="宋体" w:hAnsi="宋体" w:cs="宋体"/>
                <w:b/>
                <w:color w:val="auto"/>
                <w:kern w:val="0"/>
                <w:sz w:val="20"/>
                <w:highlight w:val="none"/>
              </w:rPr>
            </w:pPr>
            <w:r>
              <w:rPr>
                <w:rFonts w:hint="eastAsia" w:ascii="宋体" w:hAnsi="宋体" w:cs="宋体"/>
                <w:color w:val="auto"/>
                <w:kern w:val="0"/>
                <w:sz w:val="20"/>
                <w:highlight w:val="none"/>
              </w:rPr>
              <w:t>分包单位</w:t>
            </w:r>
          </w:p>
        </w:tc>
        <w:tc>
          <w:tcPr>
            <w:tcW w:w="2132" w:type="dxa"/>
            <w:vAlign w:val="center"/>
          </w:tcPr>
          <w:p>
            <w:pPr>
              <w:widowControl/>
              <w:jc w:val="center"/>
              <w:rPr>
                <w:rFonts w:hint="eastAsia" w:ascii="宋体" w:hAnsi="宋体" w:cs="宋体"/>
                <w:b/>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239" w:type="dxa"/>
            <w:vAlign w:val="center"/>
          </w:tcPr>
          <w:p>
            <w:pPr>
              <w:widowControl/>
              <w:jc w:val="center"/>
              <w:rPr>
                <w:rFonts w:hint="eastAsia" w:ascii="宋体" w:hAnsi="宋体" w:cs="宋体"/>
                <w:b/>
                <w:color w:val="auto"/>
                <w:kern w:val="0"/>
                <w:sz w:val="20"/>
                <w:highlight w:val="none"/>
              </w:rPr>
            </w:pPr>
            <w:r>
              <w:rPr>
                <w:rFonts w:hint="eastAsia" w:ascii="宋体" w:hAnsi="宋体" w:cs="宋体"/>
                <w:color w:val="auto"/>
                <w:kern w:val="0"/>
                <w:sz w:val="20"/>
                <w:highlight w:val="none"/>
                <w:lang w:val="en-US" w:eastAsia="zh-CN"/>
              </w:rPr>
              <w:t>分包</w:t>
            </w:r>
            <w:r>
              <w:rPr>
                <w:rFonts w:hint="eastAsia" w:ascii="宋体" w:hAnsi="宋体" w:cs="宋体"/>
                <w:color w:val="auto"/>
                <w:kern w:val="0"/>
                <w:sz w:val="20"/>
                <w:highlight w:val="none"/>
              </w:rPr>
              <w:t>合同名称</w:t>
            </w:r>
          </w:p>
        </w:tc>
        <w:tc>
          <w:tcPr>
            <w:tcW w:w="2130" w:type="dxa"/>
            <w:vAlign w:val="center"/>
          </w:tcPr>
          <w:p>
            <w:pPr>
              <w:rPr>
                <w:rFonts w:hint="eastAsia" w:ascii="宋体" w:hAnsi="宋体" w:cs="宋体"/>
                <w:color w:val="auto"/>
                <w:sz w:val="20"/>
                <w:highlight w:val="none"/>
              </w:rPr>
            </w:pPr>
          </w:p>
        </w:tc>
        <w:tc>
          <w:tcPr>
            <w:tcW w:w="2130" w:type="dxa"/>
            <w:vAlign w:val="center"/>
          </w:tcPr>
          <w:p>
            <w:pPr>
              <w:widowControl/>
              <w:jc w:val="center"/>
              <w:rPr>
                <w:rFonts w:hint="eastAsia" w:ascii="宋体" w:hAnsi="宋体" w:cs="宋体"/>
                <w:b/>
                <w:color w:val="auto"/>
                <w:kern w:val="0"/>
                <w:sz w:val="20"/>
                <w:highlight w:val="none"/>
              </w:rPr>
            </w:pPr>
            <w:r>
              <w:rPr>
                <w:rFonts w:hint="eastAsia" w:ascii="宋体" w:hAnsi="宋体" w:cs="宋体"/>
                <w:color w:val="auto"/>
                <w:kern w:val="0"/>
                <w:sz w:val="20"/>
                <w:highlight w:val="none"/>
                <w:lang w:val="en-US" w:eastAsia="zh-CN"/>
              </w:rPr>
              <w:t>分包</w:t>
            </w:r>
            <w:r>
              <w:rPr>
                <w:rFonts w:hint="eastAsia" w:ascii="宋体" w:hAnsi="宋体" w:cs="宋体"/>
                <w:color w:val="auto"/>
                <w:kern w:val="0"/>
                <w:sz w:val="20"/>
                <w:highlight w:val="none"/>
              </w:rPr>
              <w:t>合同编号</w:t>
            </w:r>
          </w:p>
        </w:tc>
        <w:tc>
          <w:tcPr>
            <w:tcW w:w="2132" w:type="dxa"/>
            <w:vAlign w:val="center"/>
          </w:tcPr>
          <w:p>
            <w:pPr>
              <w:widowControl/>
              <w:jc w:val="center"/>
              <w:rPr>
                <w:rFonts w:hint="eastAsia" w:ascii="宋体" w:hAnsi="宋体" w:cs="宋体"/>
                <w:b/>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39" w:type="dxa"/>
            <w:vAlign w:val="center"/>
          </w:tcPr>
          <w:p>
            <w:pPr>
              <w:widowControl/>
              <w:ind w:firstLine="400" w:firstLineChars="200"/>
              <w:jc w:val="left"/>
              <w:rPr>
                <w:rFonts w:hint="eastAsia" w:ascii="宋体" w:hAnsi="宋体" w:cs="宋体"/>
                <w:b/>
                <w:color w:val="auto"/>
                <w:kern w:val="0"/>
                <w:sz w:val="20"/>
                <w:highlight w:val="none"/>
              </w:rPr>
            </w:pPr>
            <w:r>
              <w:rPr>
                <w:rFonts w:hint="eastAsia" w:ascii="宋体" w:hAnsi="宋体" w:cs="宋体"/>
                <w:color w:val="auto"/>
                <w:kern w:val="0"/>
                <w:sz w:val="20"/>
                <w:highlight w:val="none"/>
              </w:rPr>
              <w:t>签证原因</w:t>
            </w:r>
          </w:p>
        </w:tc>
        <w:tc>
          <w:tcPr>
            <w:tcW w:w="6392" w:type="dxa"/>
            <w:gridSpan w:val="3"/>
            <w:vAlign w:val="center"/>
          </w:tcPr>
          <w:p>
            <w:pPr>
              <w:widowControl/>
              <w:rPr>
                <w:rFonts w:hint="eastAsia" w:ascii="宋体" w:hAnsi="宋体" w:cs="宋体"/>
                <w:b/>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jc w:val="center"/>
        </w:trPr>
        <w:tc>
          <w:tcPr>
            <w:tcW w:w="8631" w:type="dxa"/>
            <w:gridSpan w:val="4"/>
          </w:tcPr>
          <w:p>
            <w:pPr>
              <w:widowControl/>
              <w:jc w:val="left"/>
              <w:rPr>
                <w:rFonts w:hint="eastAsia" w:ascii="宋体" w:hAnsi="宋体" w:cs="宋体"/>
                <w:b/>
                <w:color w:val="auto"/>
                <w:kern w:val="0"/>
                <w:sz w:val="20"/>
                <w:highlight w:val="none"/>
              </w:rPr>
            </w:pPr>
            <w:r>
              <w:rPr>
                <w:rFonts w:hint="eastAsia" w:ascii="宋体" w:hAnsi="宋体" w:cs="宋体"/>
                <w:color w:val="auto"/>
                <w:kern w:val="0"/>
                <w:sz w:val="20"/>
                <w:highlight w:val="none"/>
              </w:rPr>
              <w:t>签证内容及依据（1、签证依据：设计变更、工作联系单等；2、签证部位；3、签证事项实施时间；4、签证涉及的图纸、草图/示意图；5、签证前、后的影像资料（彩色照片：含拍摄日期、编辑说明）；6、工程量计算资料（可作为附件单独提供）；7、签证金额（可作为附件单独提供）。</w:t>
            </w:r>
          </w:p>
          <w:p>
            <w:pPr>
              <w:widowControl/>
              <w:ind w:firstLine="4200" w:firstLineChars="2100"/>
              <w:jc w:val="left"/>
              <w:rPr>
                <w:rFonts w:hint="eastAsia" w:ascii="宋体" w:hAnsi="宋体" w:cs="宋体"/>
                <w:color w:val="auto"/>
                <w:kern w:val="0"/>
                <w:sz w:val="20"/>
                <w:highlight w:val="none"/>
              </w:rPr>
            </w:pPr>
          </w:p>
          <w:p>
            <w:pPr>
              <w:widowControl/>
              <w:ind w:firstLine="4200" w:firstLineChars="2100"/>
              <w:jc w:val="left"/>
              <w:rPr>
                <w:rFonts w:hint="eastAsia" w:ascii="宋体" w:hAnsi="宋体" w:cs="宋体"/>
                <w:color w:val="auto"/>
                <w:kern w:val="0"/>
                <w:sz w:val="20"/>
                <w:highlight w:val="none"/>
              </w:rPr>
            </w:pPr>
          </w:p>
          <w:p>
            <w:pPr>
              <w:widowControl/>
              <w:ind w:firstLine="4200" w:firstLineChars="2100"/>
              <w:jc w:val="left"/>
              <w:rPr>
                <w:rFonts w:hint="eastAsia" w:ascii="宋体" w:hAnsi="宋体" w:cs="宋体"/>
                <w:color w:val="auto"/>
                <w:kern w:val="0"/>
                <w:sz w:val="20"/>
                <w:highlight w:val="none"/>
              </w:rPr>
            </w:pPr>
          </w:p>
          <w:p>
            <w:pPr>
              <w:widowControl/>
              <w:ind w:firstLine="4200" w:firstLineChars="2100"/>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分包单位：（盖章）     </w:t>
            </w:r>
          </w:p>
          <w:p>
            <w:pPr>
              <w:widowControl/>
              <w:ind w:firstLine="4000" w:firstLineChars="2000"/>
              <w:jc w:val="left"/>
              <w:rPr>
                <w:rFonts w:hint="eastAsia" w:ascii="宋体" w:hAnsi="宋体" w:cs="宋体"/>
                <w:b/>
                <w:color w:val="auto"/>
                <w:kern w:val="0"/>
                <w:sz w:val="20"/>
                <w:highlight w:val="none"/>
              </w:rPr>
            </w:pPr>
            <w:r>
              <w:rPr>
                <w:rFonts w:hint="eastAsia" w:ascii="宋体" w:hAnsi="宋体" w:cs="宋体"/>
                <w:color w:val="auto"/>
                <w:kern w:val="0"/>
                <w:sz w:val="20"/>
                <w:highlight w:val="none"/>
              </w:rPr>
              <w:t xml:space="preserve">  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631" w:type="dxa"/>
            <w:gridSpan w:val="4"/>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项目</w:t>
            </w:r>
            <w:r>
              <w:rPr>
                <w:rFonts w:hint="eastAsia" w:ascii="宋体" w:hAnsi="宋体" w:cs="宋体"/>
                <w:color w:val="auto"/>
                <w:kern w:val="0"/>
                <w:sz w:val="20"/>
                <w:highlight w:val="none"/>
                <w:lang w:val="en-US" w:eastAsia="zh-CN"/>
              </w:rPr>
              <w:t>工长</w:t>
            </w:r>
            <w:r>
              <w:rPr>
                <w:rFonts w:hint="eastAsia" w:ascii="宋体" w:hAnsi="宋体" w:cs="宋体"/>
                <w:color w:val="auto"/>
                <w:kern w:val="0"/>
                <w:sz w:val="20"/>
                <w:highlight w:val="none"/>
              </w:rPr>
              <w:t xml:space="preserve">审核意见： </w:t>
            </w:r>
          </w:p>
          <w:p>
            <w:pPr>
              <w:widowControl/>
              <w:jc w:val="left"/>
              <w:rPr>
                <w:rFonts w:hint="eastAsia" w:ascii="宋体" w:hAnsi="宋体" w:cs="宋体"/>
                <w:color w:val="auto"/>
                <w:kern w:val="0"/>
                <w:sz w:val="20"/>
                <w:highlight w:val="none"/>
              </w:rPr>
            </w:pPr>
          </w:p>
          <w:p>
            <w:pPr>
              <w:widowControl/>
              <w:jc w:val="left"/>
              <w:rPr>
                <w:rFonts w:hint="eastAsia" w:ascii="宋体" w:hAnsi="宋体" w:cs="宋体"/>
                <w:b/>
                <w:color w:val="auto"/>
                <w:kern w:val="0"/>
                <w:sz w:val="20"/>
                <w:highlight w:val="none"/>
              </w:rPr>
            </w:pPr>
            <w:r>
              <w:rPr>
                <w:rFonts w:hint="eastAsia" w:ascii="宋体" w:hAnsi="宋体" w:cs="宋体"/>
                <w:color w:val="auto"/>
                <w:kern w:val="0"/>
                <w:sz w:val="20"/>
                <w:highlight w:val="none"/>
              </w:rPr>
              <w:t xml:space="preserve">经办人：                               </w:t>
            </w:r>
            <w:r>
              <w:rPr>
                <w:rFonts w:hint="eastAsia" w:ascii="宋体" w:hAnsi="宋体" w:cs="宋体"/>
                <w:color w:val="auto"/>
                <w:kern w:val="0"/>
                <w:sz w:val="20"/>
                <w:highlight w:val="none"/>
                <w:lang w:val="en-US" w:eastAsia="zh-CN"/>
              </w:rPr>
              <w:t xml:space="preserve">                     </w:t>
            </w:r>
            <w:r>
              <w:rPr>
                <w:rFonts w:hint="eastAsia" w:ascii="宋体" w:hAnsi="宋体" w:cs="宋体"/>
                <w:color w:val="auto"/>
                <w:kern w:val="0"/>
                <w:sz w:val="20"/>
                <w:highlight w:val="none"/>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631" w:type="dxa"/>
            <w:gridSpan w:val="4"/>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项目</w:t>
            </w:r>
            <w:r>
              <w:rPr>
                <w:rFonts w:hint="eastAsia" w:ascii="宋体" w:hAnsi="宋体" w:cs="宋体"/>
                <w:color w:val="auto"/>
                <w:kern w:val="0"/>
                <w:sz w:val="20"/>
                <w:highlight w:val="none"/>
                <w:lang w:val="en-US" w:eastAsia="zh-CN"/>
              </w:rPr>
              <w:t>安全员</w:t>
            </w:r>
            <w:r>
              <w:rPr>
                <w:rFonts w:hint="eastAsia" w:ascii="宋体" w:hAnsi="宋体" w:cs="宋体"/>
                <w:color w:val="auto"/>
                <w:kern w:val="0"/>
                <w:sz w:val="20"/>
                <w:highlight w:val="none"/>
              </w:rPr>
              <w:t xml:space="preserve">审核意见： </w:t>
            </w:r>
          </w:p>
          <w:p>
            <w:pPr>
              <w:widowControl/>
              <w:jc w:val="left"/>
              <w:rPr>
                <w:rFonts w:hint="eastAsia" w:ascii="宋体" w:hAnsi="宋体" w:cs="宋体"/>
                <w:color w:val="auto"/>
                <w:kern w:val="0"/>
                <w:sz w:val="20"/>
                <w:highlight w:val="none"/>
              </w:rPr>
            </w:pPr>
          </w:p>
          <w:p>
            <w:pPr>
              <w:widowControl/>
              <w:jc w:val="left"/>
              <w:rPr>
                <w:rFonts w:hint="eastAsia" w:ascii="宋体" w:hAnsi="宋体" w:cs="宋体"/>
                <w:b/>
                <w:color w:val="auto"/>
                <w:kern w:val="0"/>
                <w:sz w:val="20"/>
                <w:highlight w:val="none"/>
              </w:rPr>
            </w:pPr>
            <w:r>
              <w:rPr>
                <w:rFonts w:hint="eastAsia" w:ascii="宋体" w:hAnsi="宋体" w:cs="宋体"/>
                <w:color w:val="auto"/>
                <w:kern w:val="0"/>
                <w:sz w:val="20"/>
                <w:highlight w:val="none"/>
              </w:rPr>
              <w:t xml:space="preserve">经办人：                                         </w:t>
            </w:r>
            <w:r>
              <w:rPr>
                <w:rFonts w:hint="eastAsia" w:ascii="宋体" w:hAnsi="宋体" w:cs="宋体"/>
                <w:color w:val="auto"/>
                <w:kern w:val="0"/>
                <w:sz w:val="20"/>
                <w:highlight w:val="none"/>
                <w:lang w:val="en-US" w:eastAsia="zh-CN"/>
              </w:rPr>
              <w:t xml:space="preserve">            </w:t>
            </w:r>
            <w:r>
              <w:rPr>
                <w:rFonts w:hint="eastAsia" w:ascii="宋体" w:hAnsi="宋体" w:cs="宋体"/>
                <w:color w:val="auto"/>
                <w:kern w:val="0"/>
                <w:sz w:val="20"/>
                <w:highlight w:val="none"/>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631" w:type="dxa"/>
            <w:gridSpan w:val="4"/>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项目</w:t>
            </w:r>
            <w:r>
              <w:rPr>
                <w:rFonts w:hint="eastAsia" w:ascii="宋体" w:hAnsi="宋体" w:cs="宋体"/>
                <w:color w:val="auto"/>
                <w:kern w:val="0"/>
                <w:sz w:val="20"/>
                <w:highlight w:val="none"/>
                <w:lang w:val="en-US" w:eastAsia="zh-CN"/>
              </w:rPr>
              <w:t>质量员</w:t>
            </w:r>
            <w:r>
              <w:rPr>
                <w:rFonts w:hint="eastAsia" w:ascii="宋体" w:hAnsi="宋体" w:cs="宋体"/>
                <w:color w:val="auto"/>
                <w:kern w:val="0"/>
                <w:sz w:val="20"/>
                <w:highlight w:val="none"/>
              </w:rPr>
              <w:t>审核意见：</w:t>
            </w:r>
          </w:p>
          <w:p>
            <w:pPr>
              <w:widowControl/>
              <w:jc w:val="left"/>
              <w:rPr>
                <w:rFonts w:hint="eastAsia" w:ascii="宋体" w:hAnsi="宋体" w:cs="宋体"/>
                <w:color w:val="auto"/>
                <w:kern w:val="0"/>
                <w:sz w:val="20"/>
                <w:highlight w:val="none"/>
              </w:rPr>
            </w:pPr>
          </w:p>
          <w:p>
            <w:pPr>
              <w:widowControl/>
              <w:jc w:val="left"/>
              <w:rPr>
                <w:rFonts w:hint="eastAsia" w:ascii="宋体" w:hAnsi="宋体" w:cs="宋体"/>
                <w:b/>
                <w:color w:val="auto"/>
                <w:kern w:val="0"/>
                <w:sz w:val="20"/>
                <w:highlight w:val="none"/>
              </w:rPr>
            </w:pPr>
            <w:r>
              <w:rPr>
                <w:rFonts w:hint="eastAsia" w:ascii="宋体" w:hAnsi="宋体" w:cs="宋体"/>
                <w:color w:val="auto"/>
                <w:kern w:val="0"/>
                <w:sz w:val="20"/>
                <w:highlight w:val="none"/>
              </w:rPr>
              <w:t xml:space="preserve">经办人：                </w:t>
            </w:r>
            <w:r>
              <w:rPr>
                <w:rFonts w:hint="eastAsia" w:ascii="宋体" w:hAnsi="宋体" w:cs="宋体"/>
                <w:color w:val="auto"/>
                <w:kern w:val="0"/>
                <w:sz w:val="20"/>
                <w:highlight w:val="none"/>
                <w:lang w:val="en-US" w:eastAsia="zh-CN"/>
              </w:rPr>
              <w:t xml:space="preserve">             </w:t>
            </w:r>
            <w:r>
              <w:rPr>
                <w:rFonts w:hint="eastAsia" w:ascii="宋体" w:hAnsi="宋体" w:cs="宋体"/>
                <w:color w:val="auto"/>
                <w:kern w:val="0"/>
                <w:sz w:val="20"/>
                <w:highlight w:val="none"/>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631" w:type="dxa"/>
            <w:gridSpan w:val="4"/>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项目</w:t>
            </w:r>
            <w:r>
              <w:rPr>
                <w:rFonts w:hint="eastAsia" w:ascii="宋体" w:hAnsi="宋体" w:cs="宋体"/>
                <w:color w:val="auto"/>
                <w:kern w:val="0"/>
                <w:sz w:val="20"/>
                <w:highlight w:val="none"/>
                <w:lang w:val="en-US" w:eastAsia="zh-CN"/>
              </w:rPr>
              <w:t>技术员</w:t>
            </w:r>
            <w:r>
              <w:rPr>
                <w:rFonts w:hint="eastAsia" w:ascii="宋体" w:hAnsi="宋体" w:cs="宋体"/>
                <w:color w:val="auto"/>
                <w:kern w:val="0"/>
                <w:sz w:val="20"/>
                <w:highlight w:val="none"/>
              </w:rPr>
              <w:t xml:space="preserve">审核意见： </w:t>
            </w:r>
          </w:p>
          <w:p>
            <w:pPr>
              <w:widowControl/>
              <w:jc w:val="left"/>
              <w:rPr>
                <w:rFonts w:hint="eastAsia" w:ascii="宋体" w:hAnsi="宋体" w:cs="宋体"/>
                <w:color w:val="auto"/>
                <w:kern w:val="0"/>
                <w:sz w:val="20"/>
                <w:highlight w:val="none"/>
              </w:rPr>
            </w:pPr>
          </w:p>
          <w:p>
            <w:pPr>
              <w:widowControl/>
              <w:jc w:val="left"/>
              <w:rPr>
                <w:rFonts w:hint="eastAsia" w:ascii="宋体" w:hAnsi="宋体" w:cs="宋体"/>
                <w:b/>
                <w:color w:val="auto"/>
                <w:kern w:val="0"/>
                <w:sz w:val="20"/>
                <w:highlight w:val="none"/>
              </w:rPr>
            </w:pPr>
            <w:r>
              <w:rPr>
                <w:rFonts w:hint="eastAsia" w:ascii="宋体" w:hAnsi="宋体" w:cs="宋体"/>
                <w:color w:val="auto"/>
                <w:kern w:val="0"/>
                <w:sz w:val="20"/>
                <w:highlight w:val="none"/>
              </w:rPr>
              <w:t xml:space="preserve">经办人：                                         </w:t>
            </w:r>
            <w:r>
              <w:rPr>
                <w:rFonts w:hint="eastAsia" w:ascii="宋体" w:hAnsi="宋体" w:cs="宋体"/>
                <w:color w:val="auto"/>
                <w:kern w:val="0"/>
                <w:sz w:val="20"/>
                <w:highlight w:val="none"/>
                <w:lang w:val="en-US" w:eastAsia="zh-CN"/>
              </w:rPr>
              <w:t xml:space="preserve">            </w:t>
            </w:r>
            <w:r>
              <w:rPr>
                <w:rFonts w:hint="eastAsia" w:ascii="宋体" w:hAnsi="宋体" w:cs="宋体"/>
                <w:color w:val="auto"/>
                <w:kern w:val="0"/>
                <w:sz w:val="20"/>
                <w:highlight w:val="none"/>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631" w:type="dxa"/>
            <w:gridSpan w:val="4"/>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项目</w:t>
            </w:r>
            <w:r>
              <w:rPr>
                <w:rFonts w:hint="eastAsia" w:ascii="宋体" w:hAnsi="宋体" w:cs="宋体"/>
                <w:color w:val="auto"/>
                <w:kern w:val="0"/>
                <w:sz w:val="20"/>
                <w:highlight w:val="none"/>
                <w:lang w:val="en-US" w:eastAsia="zh-CN"/>
              </w:rPr>
              <w:t>预算员</w:t>
            </w:r>
            <w:r>
              <w:rPr>
                <w:rFonts w:hint="eastAsia" w:ascii="宋体" w:hAnsi="宋体" w:cs="宋体"/>
                <w:color w:val="auto"/>
                <w:kern w:val="0"/>
                <w:sz w:val="20"/>
                <w:highlight w:val="none"/>
              </w:rPr>
              <w:t>审核意见：</w:t>
            </w:r>
          </w:p>
          <w:p>
            <w:pPr>
              <w:widowControl/>
              <w:jc w:val="left"/>
              <w:rPr>
                <w:rFonts w:hint="eastAsia" w:ascii="宋体" w:hAnsi="宋体" w:cs="宋体"/>
                <w:color w:val="auto"/>
                <w:kern w:val="0"/>
                <w:sz w:val="20"/>
                <w:highlight w:val="none"/>
              </w:rPr>
            </w:pPr>
          </w:p>
          <w:p>
            <w:pPr>
              <w:widowControl/>
              <w:jc w:val="left"/>
              <w:rPr>
                <w:rFonts w:hint="eastAsia" w:ascii="宋体" w:hAnsi="宋体" w:cs="宋体"/>
                <w:b/>
                <w:color w:val="auto"/>
                <w:kern w:val="0"/>
                <w:sz w:val="20"/>
                <w:highlight w:val="none"/>
              </w:rPr>
            </w:pPr>
            <w:r>
              <w:rPr>
                <w:rFonts w:hint="eastAsia" w:ascii="宋体" w:hAnsi="宋体" w:cs="宋体"/>
                <w:color w:val="auto"/>
                <w:kern w:val="0"/>
                <w:sz w:val="20"/>
                <w:highlight w:val="none"/>
              </w:rPr>
              <w:t xml:space="preserve">经办人：                </w:t>
            </w:r>
            <w:r>
              <w:rPr>
                <w:rFonts w:hint="eastAsia" w:ascii="宋体" w:hAnsi="宋体" w:cs="宋体"/>
                <w:color w:val="auto"/>
                <w:kern w:val="0"/>
                <w:sz w:val="20"/>
                <w:highlight w:val="none"/>
                <w:lang w:val="en-US" w:eastAsia="zh-CN"/>
              </w:rPr>
              <w:t xml:space="preserve">             </w:t>
            </w:r>
            <w:r>
              <w:rPr>
                <w:rFonts w:hint="eastAsia" w:ascii="宋体" w:hAnsi="宋体" w:cs="宋体"/>
                <w:color w:val="auto"/>
                <w:kern w:val="0"/>
                <w:sz w:val="20"/>
                <w:highlight w:val="none"/>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631" w:type="dxa"/>
            <w:gridSpan w:val="4"/>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项目经理审核意见： </w:t>
            </w:r>
          </w:p>
          <w:p>
            <w:pPr>
              <w:widowControl/>
              <w:jc w:val="left"/>
              <w:rPr>
                <w:rFonts w:hint="eastAsia" w:ascii="宋体" w:hAnsi="宋体" w:cs="宋体"/>
                <w:color w:val="auto"/>
                <w:kern w:val="0"/>
                <w:sz w:val="20"/>
                <w:highlight w:val="none"/>
              </w:rPr>
            </w:pPr>
          </w:p>
          <w:p>
            <w:pPr>
              <w:widowControl/>
              <w:jc w:val="both"/>
              <w:rPr>
                <w:rFonts w:hint="eastAsia" w:ascii="宋体" w:hAnsi="宋体" w:cs="宋体"/>
                <w:b/>
                <w:color w:val="auto"/>
                <w:kern w:val="0"/>
                <w:sz w:val="20"/>
                <w:highlight w:val="none"/>
              </w:rPr>
            </w:pPr>
            <w:r>
              <w:rPr>
                <w:rFonts w:hint="eastAsia" w:ascii="宋体" w:hAnsi="宋体" w:cs="宋体"/>
                <w:color w:val="auto"/>
                <w:kern w:val="0"/>
                <w:sz w:val="20"/>
                <w:highlight w:val="none"/>
                <w:lang w:val="en-US" w:eastAsia="zh-CN"/>
              </w:rPr>
              <w:t>项目经理：</w:t>
            </w:r>
            <w:r>
              <w:rPr>
                <w:rFonts w:hint="eastAsia" w:ascii="宋体" w:hAnsi="宋体" w:cs="宋体"/>
                <w:color w:val="auto"/>
                <w:kern w:val="0"/>
                <w:sz w:val="20"/>
                <w:highlight w:val="none"/>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631" w:type="dxa"/>
            <w:gridSpan w:val="4"/>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直管部/分公司审核意见：</w:t>
            </w:r>
          </w:p>
          <w:p>
            <w:pPr>
              <w:widowControl/>
              <w:jc w:val="left"/>
              <w:rPr>
                <w:rFonts w:hint="eastAsia" w:ascii="宋体" w:hAnsi="宋体" w:cs="宋体"/>
                <w:color w:val="auto"/>
                <w:kern w:val="0"/>
                <w:sz w:val="20"/>
                <w:highlight w:val="none"/>
              </w:rPr>
            </w:pPr>
          </w:p>
          <w:p>
            <w:pPr>
              <w:widowControl/>
              <w:jc w:val="left"/>
              <w:rPr>
                <w:rFonts w:hint="eastAsia" w:ascii="宋体" w:hAnsi="宋体" w:cs="宋体"/>
                <w:b/>
                <w:color w:val="auto"/>
                <w:kern w:val="0"/>
                <w:sz w:val="20"/>
                <w:highlight w:val="none"/>
              </w:rPr>
            </w:pPr>
            <w:r>
              <w:rPr>
                <w:rFonts w:hint="eastAsia" w:ascii="宋体" w:hAnsi="宋体" w:cs="宋体"/>
                <w:color w:val="auto"/>
                <w:kern w:val="0"/>
                <w:sz w:val="20"/>
                <w:highlight w:val="none"/>
              </w:rPr>
              <w:t>主任经济师：            直管部经理：                          日期：</w:t>
            </w:r>
          </w:p>
        </w:tc>
      </w:tr>
    </w:tbl>
    <w:p>
      <w:pPr>
        <w:numPr>
          <w:ilvl w:val="0"/>
          <w:numId w:val="0"/>
        </w:numPr>
        <w:rPr>
          <w:rFonts w:hint="eastAsia"/>
          <w:color w:val="auto"/>
          <w:sz w:val="20"/>
          <w:highlight w:val="none"/>
        </w:rPr>
      </w:pPr>
      <w:r>
        <w:rPr>
          <w:rFonts w:hint="eastAsia"/>
          <w:color w:val="auto"/>
          <w:sz w:val="20"/>
          <w:highlight w:val="none"/>
          <w:lang w:val="en-US" w:eastAsia="zh-CN"/>
        </w:rPr>
        <w:t>1、</w:t>
      </w:r>
      <w:r>
        <w:rPr>
          <w:rFonts w:hint="eastAsia"/>
          <w:color w:val="auto"/>
          <w:sz w:val="20"/>
          <w:highlight w:val="none"/>
        </w:rPr>
        <w:t xml:space="preserve">本表一式五份，项目工程部、技术部、成本部各一份，分包单位两份。需公司/直管部审批的各增加一份。 </w:t>
      </w:r>
    </w:p>
    <w:p>
      <w:pPr>
        <w:numPr>
          <w:ilvl w:val="0"/>
          <w:numId w:val="0"/>
        </w:numPr>
        <w:rPr>
          <w:rFonts w:hint="eastAsia"/>
          <w:color w:val="auto"/>
          <w:sz w:val="20"/>
          <w:highlight w:val="none"/>
        </w:rPr>
      </w:pPr>
      <w:r>
        <w:rPr>
          <w:rFonts w:hint="eastAsia"/>
          <w:color w:val="auto"/>
          <w:sz w:val="20"/>
          <w:highlight w:val="none"/>
          <w:lang w:val="en-US" w:eastAsia="zh-CN"/>
        </w:rPr>
        <w:t>2、</w:t>
      </w:r>
      <w:r>
        <w:rPr>
          <w:rFonts w:hint="eastAsia"/>
          <w:color w:val="auto"/>
          <w:sz w:val="20"/>
          <w:highlight w:val="none"/>
        </w:rPr>
        <w:t>编号由经办部门编制； 本表与现场签证意向申请单一起作为结算依据。</w:t>
      </w:r>
    </w:p>
    <w:p>
      <w:pPr>
        <w:widowControl/>
        <w:ind w:right="796" w:rightChars="379" w:firstLine="600" w:firstLineChars="300"/>
        <w:jc w:val="left"/>
        <w:rPr>
          <w:color w:val="auto"/>
          <w:sz w:val="20"/>
          <w:highlight w:val="none"/>
        </w:rPr>
        <w:sectPr>
          <w:pgSz w:w="11905" w:h="16838"/>
          <w:pgMar w:top="1440" w:right="1797" w:bottom="1440" w:left="1797" w:header="851" w:footer="992" w:gutter="567"/>
          <w:pgBorders>
            <w:top w:val="none" w:sz="0" w:space="0"/>
            <w:left w:val="none" w:sz="0" w:space="0"/>
            <w:bottom w:val="none" w:sz="0" w:space="0"/>
            <w:right w:val="none" w:sz="0" w:space="0"/>
          </w:pgBorders>
          <w:pgNumType w:fmt="decimal"/>
          <w:cols w:space="720" w:num="1"/>
          <w:rtlGutter w:val="0"/>
          <w:docGrid w:type="lines" w:linePitch="317" w:charSpace="0"/>
        </w:sectPr>
      </w:pPr>
    </w:p>
    <w:p>
      <w:pPr>
        <w:spacing w:before="158" w:beforeLines="50" w:after="158" w:afterLines="50" w:line="360" w:lineRule="auto"/>
        <w:jc w:val="center"/>
        <w:outlineLvl w:val="9"/>
        <w:rPr>
          <w:rFonts w:hint="eastAsia" w:ascii="宋体" w:hAnsi="宋体" w:cs="宋体"/>
          <w:b/>
          <w:bCs/>
          <w:color w:val="auto"/>
          <w:kern w:val="0"/>
          <w:sz w:val="32"/>
          <w:szCs w:val="32"/>
          <w:highlight w:val="none"/>
        </w:rPr>
      </w:pPr>
      <w:bookmarkStart w:id="246" w:name="_Toc9781"/>
      <w:bookmarkStart w:id="247" w:name="_Toc8106"/>
      <w:r>
        <w:rPr>
          <w:rFonts w:hint="eastAsia" w:ascii="宋体" w:hAnsi="宋体" w:cs="宋体"/>
          <w:b/>
          <w:bCs/>
          <w:color w:val="auto"/>
          <w:kern w:val="0"/>
          <w:sz w:val="32"/>
          <w:szCs w:val="32"/>
          <w:highlight w:val="none"/>
        </w:rPr>
        <w:t>现场签证原始记录表</w:t>
      </w:r>
      <w:bookmarkEnd w:id="246"/>
      <w:bookmarkEnd w:id="247"/>
    </w:p>
    <w:p>
      <w:pPr>
        <w:ind w:firstLine="400" w:firstLineChars="200"/>
        <w:rPr>
          <w:rFonts w:hint="eastAsia"/>
          <w:color w:val="auto"/>
          <w:sz w:val="20"/>
          <w:highlight w:val="none"/>
        </w:rPr>
      </w:pPr>
      <w:r>
        <w:rPr>
          <w:rFonts w:hint="eastAsia"/>
          <w:color w:val="auto"/>
          <w:sz w:val="20"/>
          <w:highlight w:val="none"/>
        </w:rPr>
        <w:t>签证编号：</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6"/>
        <w:gridCol w:w="1531"/>
        <w:gridCol w:w="1499"/>
        <w:gridCol w:w="1725"/>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6" w:type="dxa"/>
            <w:vAlign w:val="center"/>
          </w:tcPr>
          <w:p>
            <w:pPr>
              <w:widowControl/>
              <w:rPr>
                <w:rFonts w:hint="eastAsia" w:ascii="宋体" w:hAnsi="宋体" w:cs="宋体"/>
                <w:b/>
                <w:color w:val="auto"/>
                <w:kern w:val="0"/>
                <w:sz w:val="20"/>
                <w:highlight w:val="none"/>
              </w:rPr>
            </w:pPr>
            <w:r>
              <w:rPr>
                <w:rFonts w:hint="eastAsia" w:ascii="宋体" w:hAnsi="宋体" w:cs="宋体"/>
                <w:color w:val="auto"/>
                <w:kern w:val="0"/>
                <w:sz w:val="20"/>
                <w:highlight w:val="none"/>
              </w:rPr>
              <w:t>项目名称</w:t>
            </w:r>
          </w:p>
        </w:tc>
        <w:tc>
          <w:tcPr>
            <w:tcW w:w="6673" w:type="dxa"/>
            <w:gridSpan w:val="4"/>
            <w:vAlign w:val="center"/>
          </w:tcPr>
          <w:p>
            <w:pPr>
              <w:widowControl/>
              <w:rPr>
                <w:rFonts w:hint="eastAsia" w:ascii="宋体" w:hAnsi="宋体" w:cs="宋体"/>
                <w:b/>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846" w:type="dxa"/>
            <w:vAlign w:val="center"/>
          </w:tcPr>
          <w:p>
            <w:pPr>
              <w:widowControl/>
              <w:rPr>
                <w:rFonts w:hint="eastAsia" w:ascii="宋体" w:hAnsi="宋体" w:cs="宋体"/>
                <w:color w:val="auto"/>
                <w:kern w:val="0"/>
                <w:sz w:val="20"/>
                <w:highlight w:val="none"/>
              </w:rPr>
            </w:pPr>
            <w:r>
              <w:rPr>
                <w:rFonts w:hint="eastAsia" w:ascii="宋体" w:hAnsi="宋体" w:cs="宋体"/>
                <w:color w:val="auto"/>
                <w:kern w:val="0"/>
                <w:sz w:val="20"/>
                <w:highlight w:val="none"/>
              </w:rPr>
              <w:t>分包单位</w:t>
            </w:r>
          </w:p>
        </w:tc>
        <w:tc>
          <w:tcPr>
            <w:tcW w:w="1531" w:type="dxa"/>
            <w:vAlign w:val="center"/>
          </w:tcPr>
          <w:p>
            <w:pPr>
              <w:widowControl/>
              <w:rPr>
                <w:rFonts w:hint="eastAsia" w:ascii="宋体" w:hAnsi="宋体" w:cs="宋体"/>
                <w:b/>
                <w:color w:val="auto"/>
                <w:kern w:val="0"/>
                <w:sz w:val="20"/>
                <w:highlight w:val="none"/>
              </w:rPr>
            </w:pPr>
          </w:p>
        </w:tc>
        <w:tc>
          <w:tcPr>
            <w:tcW w:w="3224" w:type="dxa"/>
            <w:gridSpan w:val="2"/>
            <w:vAlign w:val="center"/>
          </w:tcPr>
          <w:p>
            <w:pPr>
              <w:widowControl/>
              <w:rPr>
                <w:rFonts w:hint="eastAsia" w:ascii="宋体" w:hAnsi="宋体" w:cs="宋体"/>
                <w:color w:val="auto"/>
                <w:kern w:val="0"/>
                <w:sz w:val="20"/>
                <w:highlight w:val="none"/>
              </w:rPr>
            </w:pPr>
            <w:r>
              <w:rPr>
                <w:rFonts w:hint="eastAsia" w:ascii="宋体" w:hAnsi="宋体" w:cs="宋体"/>
                <w:color w:val="auto"/>
                <w:kern w:val="0"/>
                <w:sz w:val="20"/>
                <w:highlight w:val="none"/>
                <w:lang w:val="en-US" w:eastAsia="zh-CN"/>
              </w:rPr>
              <w:t>分包</w:t>
            </w:r>
            <w:r>
              <w:rPr>
                <w:rFonts w:hint="eastAsia" w:ascii="宋体" w:hAnsi="宋体" w:cs="宋体"/>
                <w:color w:val="auto"/>
                <w:kern w:val="0"/>
                <w:sz w:val="20"/>
                <w:highlight w:val="none"/>
              </w:rPr>
              <w:t>合同名称</w:t>
            </w:r>
          </w:p>
        </w:tc>
        <w:tc>
          <w:tcPr>
            <w:tcW w:w="1918" w:type="dxa"/>
            <w:vAlign w:val="center"/>
          </w:tcPr>
          <w:p>
            <w:pPr>
              <w:widowControl/>
              <w:rPr>
                <w:rFonts w:hint="eastAsia" w:ascii="宋体" w:hAnsi="宋体" w:cs="宋体"/>
                <w:b/>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6" w:type="dxa"/>
            <w:vAlign w:val="center"/>
          </w:tcPr>
          <w:p>
            <w:pPr>
              <w:widowControl/>
              <w:rPr>
                <w:rFonts w:hint="eastAsia" w:ascii="宋体" w:hAnsi="宋体" w:cs="宋体"/>
                <w:color w:val="auto"/>
                <w:kern w:val="0"/>
                <w:sz w:val="20"/>
                <w:highlight w:val="none"/>
              </w:rPr>
            </w:pPr>
            <w:r>
              <w:rPr>
                <w:rFonts w:hint="eastAsia" w:ascii="宋体" w:hAnsi="宋体" w:cs="宋体"/>
                <w:color w:val="auto"/>
                <w:kern w:val="0"/>
                <w:sz w:val="20"/>
                <w:highlight w:val="none"/>
                <w:lang w:val="en-US" w:eastAsia="zh-CN"/>
              </w:rPr>
              <w:t>分包</w:t>
            </w:r>
            <w:r>
              <w:rPr>
                <w:rFonts w:hint="eastAsia" w:ascii="宋体" w:hAnsi="宋体" w:cs="宋体"/>
                <w:color w:val="auto"/>
                <w:kern w:val="0"/>
                <w:sz w:val="20"/>
                <w:highlight w:val="none"/>
              </w:rPr>
              <w:t>合同编号</w:t>
            </w:r>
          </w:p>
        </w:tc>
        <w:tc>
          <w:tcPr>
            <w:tcW w:w="1531" w:type="dxa"/>
            <w:vAlign w:val="center"/>
          </w:tcPr>
          <w:p>
            <w:pPr>
              <w:widowControl/>
              <w:rPr>
                <w:rFonts w:hint="eastAsia" w:ascii="宋体" w:hAnsi="宋体" w:cs="宋体"/>
                <w:b/>
                <w:color w:val="auto"/>
                <w:kern w:val="0"/>
                <w:sz w:val="20"/>
                <w:highlight w:val="none"/>
              </w:rPr>
            </w:pPr>
          </w:p>
        </w:tc>
        <w:tc>
          <w:tcPr>
            <w:tcW w:w="3224" w:type="dxa"/>
            <w:gridSpan w:val="2"/>
            <w:vAlign w:val="center"/>
          </w:tcPr>
          <w:p>
            <w:pPr>
              <w:widowControl/>
              <w:rPr>
                <w:rFonts w:hint="eastAsia" w:ascii="宋体" w:hAnsi="宋体" w:cs="宋体"/>
                <w:b/>
                <w:color w:val="auto"/>
                <w:kern w:val="0"/>
                <w:sz w:val="20"/>
                <w:highlight w:val="none"/>
              </w:rPr>
            </w:pPr>
            <w:r>
              <w:rPr>
                <w:rFonts w:hint="eastAsia" w:ascii="宋体" w:hAnsi="宋体" w:cs="宋体"/>
                <w:color w:val="auto"/>
                <w:kern w:val="0"/>
                <w:sz w:val="20"/>
                <w:highlight w:val="none"/>
              </w:rPr>
              <w:t>签认日期</w:t>
            </w:r>
          </w:p>
        </w:tc>
        <w:tc>
          <w:tcPr>
            <w:tcW w:w="1918" w:type="dxa"/>
            <w:vAlign w:val="center"/>
          </w:tcPr>
          <w:p>
            <w:pPr>
              <w:widowControl/>
              <w:rPr>
                <w:rFonts w:hint="eastAsia" w:ascii="宋体" w:hAnsi="宋体" w:cs="宋体"/>
                <w:b/>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9" w:type="dxa"/>
            <w:gridSpan w:val="5"/>
            <w:vAlign w:val="center"/>
          </w:tcPr>
          <w:p>
            <w:pPr>
              <w:widowControl/>
              <w:jc w:val="left"/>
              <w:rPr>
                <w:rFonts w:hint="eastAsia" w:ascii="宋体" w:hAnsi="宋体" w:cs="宋体"/>
                <w:color w:val="auto"/>
                <w:kern w:val="0"/>
                <w:sz w:val="20"/>
                <w:highlight w:val="none"/>
              </w:rPr>
            </w:pPr>
          </w:p>
          <w:p>
            <w:pPr>
              <w:widowControl/>
              <w:rPr>
                <w:rFonts w:hint="eastAsia" w:ascii="宋体" w:hAnsi="宋体" w:cs="宋体"/>
                <w:b/>
                <w:color w:val="auto"/>
                <w:kern w:val="0"/>
                <w:sz w:val="20"/>
                <w:highlight w:val="none"/>
              </w:rPr>
            </w:pPr>
            <w:r>
              <w:rPr>
                <w:rFonts w:hint="eastAsia" w:ascii="宋体" w:hAnsi="宋体" w:cs="宋体"/>
                <w:color w:val="auto"/>
                <w:kern w:val="0"/>
                <w:sz w:val="20"/>
                <w:highlight w:val="none"/>
              </w:rPr>
              <w:t>签证记录：（示意图、测量尺寸如长宽高等、标高）</w:t>
            </w:r>
          </w:p>
          <w:p>
            <w:pPr>
              <w:widowControl/>
              <w:rPr>
                <w:rFonts w:hint="eastAsia" w:ascii="宋体" w:hAnsi="宋体" w:cs="宋体"/>
                <w:b/>
                <w:color w:val="auto"/>
                <w:kern w:val="0"/>
                <w:sz w:val="20"/>
                <w:highlight w:val="none"/>
              </w:rPr>
            </w:pPr>
          </w:p>
          <w:p>
            <w:pPr>
              <w:widowControl/>
              <w:rPr>
                <w:rFonts w:hint="eastAsia" w:ascii="宋体" w:hAnsi="宋体" w:cs="宋体"/>
                <w:b/>
                <w:color w:val="auto"/>
                <w:kern w:val="0"/>
                <w:sz w:val="20"/>
                <w:highlight w:val="none"/>
              </w:rPr>
            </w:pPr>
          </w:p>
          <w:p>
            <w:pPr>
              <w:pStyle w:val="2"/>
              <w:outlineLvl w:val="9"/>
              <w:rPr>
                <w:rFonts w:hint="eastAsia" w:ascii="宋体" w:hAnsi="宋体" w:cs="宋体"/>
                <w:color w:val="auto"/>
                <w:sz w:val="20"/>
                <w:szCs w:val="20"/>
                <w:highlight w:val="none"/>
              </w:rPr>
            </w:pPr>
          </w:p>
          <w:p>
            <w:pPr>
              <w:rPr>
                <w:rFonts w:hint="eastAsia" w:ascii="宋体" w:hAnsi="宋体" w:cs="宋体"/>
                <w:color w:val="auto"/>
                <w:sz w:val="20"/>
                <w:highlight w:val="none"/>
              </w:rPr>
            </w:pPr>
          </w:p>
          <w:p>
            <w:pPr>
              <w:pStyle w:val="2"/>
              <w:outlineLvl w:val="9"/>
              <w:rPr>
                <w:rFonts w:hint="eastAsia" w:ascii="宋体" w:hAnsi="宋体" w:cs="宋体"/>
                <w:color w:val="auto"/>
                <w:sz w:val="20"/>
                <w:szCs w:val="20"/>
                <w:highlight w:val="none"/>
              </w:rPr>
            </w:pPr>
          </w:p>
          <w:p>
            <w:pPr>
              <w:rPr>
                <w:rFonts w:hint="eastAsia" w:ascii="宋体" w:hAnsi="宋体" w:cs="宋体"/>
                <w:color w:val="auto"/>
                <w:sz w:val="20"/>
                <w:highlight w:val="none"/>
              </w:rPr>
            </w:pPr>
          </w:p>
          <w:p>
            <w:pPr>
              <w:pStyle w:val="2"/>
              <w:outlineLvl w:val="9"/>
              <w:rPr>
                <w:rFonts w:hint="eastAsia" w:ascii="宋体" w:hAnsi="宋体" w:cs="宋体"/>
                <w:color w:val="auto"/>
                <w:sz w:val="20"/>
                <w:szCs w:val="20"/>
                <w:highlight w:val="none"/>
              </w:rPr>
            </w:pPr>
          </w:p>
          <w:p>
            <w:pPr>
              <w:widowControl/>
              <w:rPr>
                <w:rFonts w:hint="eastAsia" w:ascii="宋体" w:hAnsi="宋体" w:cs="宋体"/>
                <w:b/>
                <w:color w:val="auto"/>
                <w:kern w:val="0"/>
                <w:sz w:val="20"/>
                <w:highlight w:val="none"/>
              </w:rPr>
            </w:pPr>
          </w:p>
          <w:p>
            <w:pPr>
              <w:widowControl/>
              <w:rPr>
                <w:rFonts w:hint="eastAsia" w:ascii="宋体" w:hAnsi="宋体" w:cs="宋体"/>
                <w:b/>
                <w:color w:val="auto"/>
                <w:kern w:val="0"/>
                <w:sz w:val="20"/>
                <w:highlight w:val="none"/>
              </w:rPr>
            </w:pPr>
          </w:p>
          <w:p>
            <w:pPr>
              <w:widowControl/>
              <w:rPr>
                <w:rFonts w:hint="eastAsia" w:ascii="宋体" w:hAnsi="宋体" w:cs="宋体"/>
                <w:b/>
                <w:color w:val="auto"/>
                <w:kern w:val="0"/>
                <w:sz w:val="20"/>
                <w:highlight w:val="none"/>
              </w:rPr>
            </w:pPr>
          </w:p>
          <w:p>
            <w:pPr>
              <w:widowControl/>
              <w:rPr>
                <w:rFonts w:hint="eastAsia" w:ascii="宋体" w:hAnsi="宋体" w:cs="宋体"/>
                <w:b/>
                <w:color w:val="auto"/>
                <w:kern w:val="0"/>
                <w:sz w:val="20"/>
                <w:highlight w:val="none"/>
              </w:rPr>
            </w:pPr>
          </w:p>
          <w:p>
            <w:pPr>
              <w:widowControl/>
              <w:rPr>
                <w:rFonts w:hint="eastAsia" w:ascii="宋体" w:hAnsi="宋体" w:cs="宋体"/>
                <w:b/>
                <w:color w:val="auto"/>
                <w:kern w:val="0"/>
                <w:sz w:val="20"/>
                <w:highlight w:val="none"/>
              </w:rPr>
            </w:pPr>
          </w:p>
          <w:p>
            <w:pPr>
              <w:widowControl/>
              <w:rPr>
                <w:rFonts w:hint="eastAsia" w:ascii="宋体" w:hAnsi="宋体" w:cs="宋体"/>
                <w:b/>
                <w:color w:val="auto"/>
                <w:kern w:val="0"/>
                <w:sz w:val="20"/>
                <w:highlight w:val="none"/>
              </w:rPr>
            </w:pPr>
          </w:p>
          <w:p>
            <w:pPr>
              <w:widowControl/>
              <w:jc w:val="left"/>
              <w:rPr>
                <w:rFonts w:hint="eastAsia" w:ascii="宋体" w:hAnsi="宋体" w:cs="宋体"/>
                <w:color w:val="auto"/>
                <w:kern w:val="0"/>
                <w:sz w:val="20"/>
                <w:highlight w:val="none"/>
              </w:rPr>
            </w:pPr>
          </w:p>
          <w:p>
            <w:pPr>
              <w:widowControl/>
              <w:jc w:val="left"/>
              <w:rPr>
                <w:rFonts w:hint="eastAsia" w:ascii="宋体" w:hAnsi="宋体" w:cs="宋体"/>
                <w:color w:val="auto"/>
                <w:kern w:val="0"/>
                <w:sz w:val="20"/>
                <w:highlight w:val="none"/>
              </w:rPr>
            </w:pPr>
          </w:p>
          <w:p>
            <w:pPr>
              <w:widowControl/>
              <w:ind w:firstLine="4819" w:firstLineChars="2400"/>
              <w:jc w:val="left"/>
              <w:rPr>
                <w:rFonts w:hint="eastAsia" w:ascii="宋体" w:hAnsi="宋体" w:cs="宋体"/>
                <w:b/>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jc w:val="center"/>
        </w:trPr>
        <w:tc>
          <w:tcPr>
            <w:tcW w:w="1846" w:type="dxa"/>
          </w:tcPr>
          <w:p>
            <w:pPr>
              <w:widowControl/>
              <w:jc w:val="both"/>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分包单位负责人： </w:t>
            </w:r>
          </w:p>
          <w:p>
            <w:pPr>
              <w:widowControl/>
              <w:jc w:val="both"/>
              <w:rPr>
                <w:rFonts w:hint="eastAsia" w:ascii="宋体" w:hAnsi="宋体" w:cs="宋体"/>
                <w:color w:val="auto"/>
                <w:kern w:val="0"/>
                <w:sz w:val="20"/>
                <w:highlight w:val="none"/>
              </w:rPr>
            </w:pPr>
          </w:p>
          <w:p>
            <w:pPr>
              <w:widowControl/>
              <w:jc w:val="both"/>
              <w:rPr>
                <w:rFonts w:hint="eastAsia" w:ascii="宋体" w:hAnsi="宋体" w:cs="宋体"/>
                <w:color w:val="auto"/>
                <w:kern w:val="0"/>
                <w:sz w:val="20"/>
                <w:highlight w:val="none"/>
              </w:rPr>
            </w:pPr>
          </w:p>
          <w:p>
            <w:pPr>
              <w:widowControl/>
              <w:jc w:val="both"/>
              <w:rPr>
                <w:rFonts w:hint="eastAsia" w:ascii="宋体" w:hAnsi="宋体" w:cs="宋体"/>
                <w:color w:val="auto"/>
                <w:kern w:val="0"/>
                <w:sz w:val="20"/>
                <w:highlight w:val="none"/>
              </w:rPr>
            </w:pPr>
          </w:p>
          <w:p>
            <w:pPr>
              <w:widowControl/>
              <w:jc w:val="both"/>
              <w:rPr>
                <w:rFonts w:hint="eastAsia" w:ascii="宋体" w:hAnsi="宋体" w:cs="宋体"/>
                <w:b/>
                <w:color w:val="auto"/>
                <w:kern w:val="0"/>
                <w:sz w:val="20"/>
                <w:highlight w:val="none"/>
              </w:rPr>
            </w:pPr>
            <w:r>
              <w:rPr>
                <w:rFonts w:hint="eastAsia" w:ascii="宋体" w:hAnsi="宋体" w:cs="宋体"/>
                <w:color w:val="auto"/>
                <w:kern w:val="0"/>
                <w:sz w:val="20"/>
                <w:highlight w:val="none"/>
              </w:rPr>
              <w:t>日   期：</w:t>
            </w:r>
          </w:p>
        </w:tc>
        <w:tc>
          <w:tcPr>
            <w:tcW w:w="1531" w:type="dxa"/>
          </w:tcPr>
          <w:p>
            <w:pPr>
              <w:widowControl/>
              <w:jc w:val="both"/>
              <w:rPr>
                <w:rFonts w:hint="eastAsia" w:ascii="宋体" w:hAnsi="宋体" w:cs="宋体"/>
                <w:color w:val="auto"/>
                <w:kern w:val="0"/>
                <w:sz w:val="20"/>
                <w:highlight w:val="none"/>
              </w:rPr>
            </w:pPr>
            <w:r>
              <w:rPr>
                <w:rFonts w:hint="eastAsia" w:ascii="宋体" w:hAnsi="宋体" w:cs="宋体"/>
                <w:color w:val="auto"/>
                <w:kern w:val="0"/>
                <w:sz w:val="20"/>
                <w:highlight w:val="none"/>
              </w:rPr>
              <w:t>项目</w:t>
            </w:r>
            <w:r>
              <w:rPr>
                <w:rFonts w:hint="eastAsia" w:ascii="宋体" w:hAnsi="宋体" w:cs="宋体"/>
                <w:color w:val="auto"/>
                <w:kern w:val="0"/>
                <w:sz w:val="20"/>
                <w:highlight w:val="none"/>
                <w:lang w:val="en-US" w:eastAsia="zh-CN"/>
              </w:rPr>
              <w:t>工长</w:t>
            </w:r>
            <w:r>
              <w:rPr>
                <w:rFonts w:hint="eastAsia" w:ascii="宋体" w:hAnsi="宋体" w:cs="宋体"/>
                <w:color w:val="auto"/>
                <w:kern w:val="0"/>
                <w:sz w:val="20"/>
                <w:highlight w:val="none"/>
              </w:rPr>
              <w:t>：</w:t>
            </w:r>
          </w:p>
          <w:p>
            <w:pPr>
              <w:widowControl/>
              <w:jc w:val="both"/>
              <w:rPr>
                <w:rFonts w:hint="eastAsia" w:ascii="宋体" w:hAnsi="宋体" w:cs="宋体"/>
                <w:color w:val="auto"/>
                <w:kern w:val="0"/>
                <w:sz w:val="20"/>
                <w:highlight w:val="none"/>
              </w:rPr>
            </w:pPr>
          </w:p>
          <w:p>
            <w:pPr>
              <w:widowControl/>
              <w:jc w:val="both"/>
              <w:rPr>
                <w:rFonts w:hint="eastAsia" w:ascii="宋体" w:hAnsi="宋体" w:cs="宋体"/>
                <w:color w:val="auto"/>
                <w:kern w:val="0"/>
                <w:sz w:val="20"/>
                <w:highlight w:val="none"/>
              </w:rPr>
            </w:pPr>
          </w:p>
          <w:p>
            <w:pPr>
              <w:widowControl/>
              <w:jc w:val="both"/>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 </w:t>
            </w:r>
          </w:p>
          <w:p>
            <w:pPr>
              <w:widowControl/>
              <w:jc w:val="both"/>
              <w:rPr>
                <w:rFonts w:hint="eastAsia" w:ascii="宋体" w:hAnsi="宋体" w:cs="宋体"/>
                <w:b/>
                <w:color w:val="auto"/>
                <w:kern w:val="0"/>
                <w:sz w:val="20"/>
                <w:highlight w:val="none"/>
              </w:rPr>
            </w:pPr>
            <w:r>
              <w:rPr>
                <w:rFonts w:hint="eastAsia" w:ascii="宋体" w:hAnsi="宋体" w:cs="宋体"/>
                <w:color w:val="auto"/>
                <w:kern w:val="0"/>
                <w:sz w:val="20"/>
                <w:highlight w:val="none"/>
              </w:rPr>
              <w:t>日   期：</w:t>
            </w:r>
          </w:p>
        </w:tc>
        <w:tc>
          <w:tcPr>
            <w:tcW w:w="1499" w:type="dxa"/>
          </w:tcPr>
          <w:p>
            <w:pPr>
              <w:widowControl/>
              <w:jc w:val="both"/>
              <w:rPr>
                <w:rFonts w:hint="eastAsia" w:ascii="宋体" w:hAnsi="宋体" w:cs="宋体"/>
                <w:color w:val="auto"/>
                <w:kern w:val="0"/>
                <w:sz w:val="20"/>
                <w:highlight w:val="none"/>
              </w:rPr>
            </w:pPr>
            <w:r>
              <w:rPr>
                <w:rFonts w:hint="eastAsia" w:ascii="宋体" w:hAnsi="宋体" w:cs="宋体"/>
                <w:color w:val="auto"/>
                <w:kern w:val="0"/>
                <w:sz w:val="20"/>
                <w:highlight w:val="none"/>
              </w:rPr>
              <w:t>项目技术</w:t>
            </w:r>
            <w:r>
              <w:rPr>
                <w:rFonts w:hint="eastAsia" w:ascii="宋体" w:hAnsi="宋体" w:cs="宋体"/>
                <w:color w:val="auto"/>
                <w:kern w:val="0"/>
                <w:sz w:val="20"/>
                <w:highlight w:val="none"/>
                <w:lang w:val="en-US" w:eastAsia="zh-CN"/>
              </w:rPr>
              <w:t>员</w:t>
            </w:r>
            <w:r>
              <w:rPr>
                <w:rFonts w:hint="eastAsia" w:ascii="宋体" w:hAnsi="宋体" w:cs="宋体"/>
                <w:color w:val="auto"/>
                <w:kern w:val="0"/>
                <w:sz w:val="20"/>
                <w:highlight w:val="none"/>
              </w:rPr>
              <w:t>：</w:t>
            </w:r>
          </w:p>
          <w:p>
            <w:pPr>
              <w:widowControl/>
              <w:jc w:val="both"/>
              <w:rPr>
                <w:rFonts w:hint="eastAsia" w:ascii="宋体" w:hAnsi="宋体" w:cs="宋体"/>
                <w:color w:val="auto"/>
                <w:kern w:val="0"/>
                <w:sz w:val="20"/>
                <w:highlight w:val="none"/>
              </w:rPr>
            </w:pPr>
          </w:p>
          <w:p>
            <w:pPr>
              <w:widowControl/>
              <w:jc w:val="both"/>
              <w:rPr>
                <w:rFonts w:hint="eastAsia" w:ascii="宋体" w:hAnsi="宋体" w:cs="宋体"/>
                <w:color w:val="auto"/>
                <w:kern w:val="0"/>
                <w:sz w:val="20"/>
                <w:highlight w:val="none"/>
              </w:rPr>
            </w:pPr>
          </w:p>
          <w:p>
            <w:pPr>
              <w:widowControl/>
              <w:jc w:val="both"/>
              <w:rPr>
                <w:rFonts w:hint="eastAsia" w:ascii="宋体" w:hAnsi="宋体" w:cs="宋体"/>
                <w:color w:val="auto"/>
                <w:kern w:val="0"/>
                <w:sz w:val="20"/>
                <w:highlight w:val="none"/>
              </w:rPr>
            </w:pPr>
          </w:p>
          <w:p>
            <w:pPr>
              <w:widowControl/>
              <w:jc w:val="both"/>
              <w:rPr>
                <w:rFonts w:hint="eastAsia" w:ascii="宋体" w:hAnsi="宋体" w:cs="宋体"/>
                <w:b/>
                <w:color w:val="auto"/>
                <w:kern w:val="0"/>
                <w:sz w:val="20"/>
                <w:highlight w:val="none"/>
              </w:rPr>
            </w:pPr>
            <w:r>
              <w:rPr>
                <w:rFonts w:hint="eastAsia" w:ascii="宋体" w:hAnsi="宋体" w:cs="宋体"/>
                <w:color w:val="auto"/>
                <w:kern w:val="0"/>
                <w:sz w:val="20"/>
                <w:highlight w:val="none"/>
              </w:rPr>
              <w:t xml:space="preserve"> 日  期：</w:t>
            </w:r>
          </w:p>
        </w:tc>
        <w:tc>
          <w:tcPr>
            <w:tcW w:w="1725" w:type="dxa"/>
          </w:tcPr>
          <w:p>
            <w:pPr>
              <w:widowControl/>
              <w:jc w:val="both"/>
              <w:rPr>
                <w:rFonts w:hint="eastAsia" w:ascii="宋体" w:hAnsi="宋体" w:cs="宋体"/>
                <w:color w:val="auto"/>
                <w:kern w:val="0"/>
                <w:sz w:val="20"/>
                <w:highlight w:val="none"/>
              </w:rPr>
            </w:pPr>
            <w:r>
              <w:rPr>
                <w:rFonts w:hint="eastAsia" w:ascii="宋体" w:hAnsi="宋体" w:cs="宋体"/>
                <w:color w:val="auto"/>
                <w:kern w:val="0"/>
                <w:sz w:val="20"/>
                <w:highlight w:val="none"/>
              </w:rPr>
              <w:t>项目</w:t>
            </w:r>
            <w:r>
              <w:rPr>
                <w:rFonts w:hint="eastAsia" w:ascii="宋体" w:hAnsi="宋体" w:cs="宋体"/>
                <w:color w:val="auto"/>
                <w:kern w:val="0"/>
                <w:sz w:val="20"/>
                <w:highlight w:val="none"/>
                <w:lang w:val="en-US" w:eastAsia="zh-CN"/>
              </w:rPr>
              <w:t>预算员</w:t>
            </w:r>
            <w:r>
              <w:rPr>
                <w:rFonts w:hint="eastAsia" w:ascii="宋体" w:hAnsi="宋体" w:cs="宋体"/>
                <w:color w:val="auto"/>
                <w:kern w:val="0"/>
                <w:sz w:val="20"/>
                <w:highlight w:val="none"/>
              </w:rPr>
              <w:t>：</w:t>
            </w:r>
          </w:p>
          <w:p>
            <w:pPr>
              <w:widowControl/>
              <w:jc w:val="both"/>
              <w:rPr>
                <w:rFonts w:hint="eastAsia" w:ascii="宋体" w:hAnsi="宋体" w:cs="宋体"/>
                <w:color w:val="auto"/>
                <w:kern w:val="0"/>
                <w:sz w:val="20"/>
                <w:highlight w:val="none"/>
              </w:rPr>
            </w:pPr>
          </w:p>
          <w:p>
            <w:pPr>
              <w:widowControl/>
              <w:jc w:val="both"/>
              <w:rPr>
                <w:rFonts w:hint="eastAsia" w:ascii="宋体" w:hAnsi="宋体" w:cs="宋体"/>
                <w:color w:val="auto"/>
                <w:kern w:val="0"/>
                <w:sz w:val="20"/>
                <w:highlight w:val="none"/>
              </w:rPr>
            </w:pPr>
          </w:p>
          <w:p>
            <w:pPr>
              <w:widowControl/>
              <w:jc w:val="both"/>
              <w:rPr>
                <w:rFonts w:hint="eastAsia" w:ascii="宋体" w:hAnsi="宋体" w:cs="宋体"/>
                <w:color w:val="auto"/>
                <w:kern w:val="0"/>
                <w:sz w:val="20"/>
                <w:highlight w:val="none"/>
              </w:rPr>
            </w:pPr>
          </w:p>
          <w:p>
            <w:pPr>
              <w:widowControl/>
              <w:jc w:val="both"/>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 日  期：</w:t>
            </w:r>
          </w:p>
        </w:tc>
        <w:tc>
          <w:tcPr>
            <w:tcW w:w="1918" w:type="dxa"/>
          </w:tcPr>
          <w:p>
            <w:pPr>
              <w:widowControl/>
              <w:jc w:val="both"/>
              <w:rPr>
                <w:rFonts w:hint="eastAsia" w:ascii="宋体" w:hAnsi="宋体" w:cs="宋体"/>
                <w:color w:val="auto"/>
                <w:kern w:val="0"/>
                <w:sz w:val="20"/>
                <w:highlight w:val="none"/>
              </w:rPr>
            </w:pPr>
            <w:r>
              <w:rPr>
                <w:rFonts w:hint="eastAsia" w:ascii="宋体" w:hAnsi="宋体" w:cs="宋体"/>
                <w:color w:val="auto"/>
                <w:kern w:val="0"/>
                <w:sz w:val="20"/>
                <w:highlight w:val="none"/>
              </w:rPr>
              <w:t>项目经理：</w:t>
            </w:r>
          </w:p>
          <w:p>
            <w:pPr>
              <w:widowControl/>
              <w:jc w:val="both"/>
              <w:rPr>
                <w:rFonts w:hint="eastAsia" w:ascii="宋体" w:hAnsi="宋体" w:cs="宋体"/>
                <w:color w:val="auto"/>
                <w:kern w:val="0"/>
                <w:sz w:val="20"/>
                <w:highlight w:val="none"/>
              </w:rPr>
            </w:pPr>
          </w:p>
          <w:p>
            <w:pPr>
              <w:widowControl/>
              <w:jc w:val="both"/>
              <w:rPr>
                <w:rFonts w:hint="eastAsia" w:ascii="宋体" w:hAnsi="宋体" w:cs="宋体"/>
                <w:color w:val="auto"/>
                <w:kern w:val="0"/>
                <w:sz w:val="20"/>
                <w:highlight w:val="none"/>
              </w:rPr>
            </w:pPr>
          </w:p>
          <w:p>
            <w:pPr>
              <w:widowControl/>
              <w:jc w:val="both"/>
              <w:rPr>
                <w:rFonts w:hint="eastAsia" w:ascii="宋体" w:hAnsi="宋体" w:cs="宋体"/>
                <w:color w:val="auto"/>
                <w:kern w:val="0"/>
                <w:sz w:val="20"/>
                <w:highlight w:val="none"/>
              </w:rPr>
            </w:pPr>
          </w:p>
          <w:p>
            <w:pPr>
              <w:widowControl/>
              <w:jc w:val="both"/>
              <w:rPr>
                <w:rFonts w:hint="eastAsia" w:ascii="宋体" w:hAnsi="宋体" w:cs="宋体"/>
                <w:b/>
                <w:color w:val="auto"/>
                <w:kern w:val="0"/>
                <w:sz w:val="20"/>
                <w:highlight w:val="none"/>
              </w:rPr>
            </w:pPr>
            <w:r>
              <w:rPr>
                <w:rFonts w:hint="eastAsia" w:ascii="宋体" w:hAnsi="宋体" w:cs="宋体"/>
                <w:color w:val="auto"/>
                <w:kern w:val="0"/>
                <w:sz w:val="20"/>
                <w:highlight w:val="none"/>
              </w:rPr>
              <w:t>日 期：</w:t>
            </w:r>
          </w:p>
        </w:tc>
      </w:tr>
    </w:tbl>
    <w:p>
      <w:pPr>
        <w:ind w:firstLine="400" w:firstLineChars="200"/>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1、此表作为现场签证审批表审核依据； </w:t>
      </w:r>
    </w:p>
    <w:p>
      <w:pPr>
        <w:ind w:firstLine="400" w:firstLineChars="200"/>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2、此表作为现场签证单附件，用于记录签证工程量及相关数据； </w:t>
      </w:r>
    </w:p>
    <w:p>
      <w:pPr>
        <w:ind w:firstLine="400" w:firstLineChars="200"/>
        <w:rPr>
          <w:rFonts w:hint="eastAsia" w:ascii="仿宋_GB2312" w:hAnsi="宋体" w:eastAsia="仿宋_GB2312" w:cs="宋体"/>
          <w:color w:val="auto"/>
          <w:sz w:val="20"/>
          <w:highlight w:val="none"/>
        </w:rPr>
      </w:pPr>
      <w:r>
        <w:rPr>
          <w:rFonts w:hint="eastAsia" w:ascii="宋体" w:hAnsi="宋体" w:cs="宋体"/>
          <w:color w:val="auto"/>
          <w:kern w:val="0"/>
          <w:sz w:val="20"/>
          <w:highlight w:val="none"/>
        </w:rPr>
        <w:t>3、本表一式五份，项目工程部、技术部、成本部各一份、分包单位两份。</w:t>
      </w:r>
    </w:p>
    <w:p>
      <w:pPr>
        <w:widowControl/>
        <w:ind w:right="796" w:rightChars="379" w:firstLine="630" w:firstLineChars="300"/>
        <w:jc w:val="left"/>
        <w:rPr>
          <w:rFonts w:hint="eastAsia" w:ascii="仿宋_GB2312" w:eastAsia="仿宋_GB2312"/>
          <w:color w:val="auto"/>
          <w:szCs w:val="21"/>
          <w:highlight w:val="none"/>
        </w:rPr>
      </w:pPr>
    </w:p>
    <w:p>
      <w:pPr>
        <w:pStyle w:val="11"/>
        <w:rPr>
          <w:color w:val="auto"/>
          <w:highlight w:val="none"/>
        </w:rPr>
        <w:sectPr>
          <w:pgSz w:w="11905" w:h="16838"/>
          <w:pgMar w:top="1440" w:right="1797" w:bottom="1440" w:left="1797" w:header="851" w:footer="992" w:gutter="567"/>
          <w:pgBorders>
            <w:top w:val="none" w:sz="0" w:space="0"/>
            <w:left w:val="none" w:sz="0" w:space="0"/>
            <w:bottom w:val="none" w:sz="0" w:space="0"/>
            <w:right w:val="none" w:sz="0" w:space="0"/>
          </w:pgBorders>
          <w:pgNumType w:fmt="decimal"/>
          <w:cols w:space="720" w:num="1"/>
          <w:rtlGutter w:val="0"/>
          <w:docGrid w:type="lines" w:linePitch="317" w:charSpace="0"/>
        </w:sectPr>
      </w:pPr>
    </w:p>
    <w:p>
      <w:pPr>
        <w:spacing w:before="158" w:beforeLines="50" w:after="158" w:afterLines="50" w:line="360" w:lineRule="auto"/>
        <w:jc w:val="center"/>
        <w:outlineLvl w:val="9"/>
        <w:rPr>
          <w:rFonts w:hint="eastAsia" w:ascii="仿宋_GB2312" w:hAnsi="宋体" w:eastAsia="仿宋_GB2312"/>
          <w:color w:val="auto"/>
          <w:sz w:val="28"/>
          <w:szCs w:val="28"/>
          <w:highlight w:val="none"/>
          <w:u w:val="single"/>
        </w:rPr>
      </w:pPr>
      <w:bookmarkStart w:id="248" w:name="_Toc17474"/>
      <w:bookmarkStart w:id="249" w:name="_Toc28423"/>
      <w:r>
        <w:rPr>
          <w:rFonts w:hint="eastAsia" w:ascii="宋体" w:hAnsi="宋体" w:cs="宋体"/>
          <w:b/>
          <w:bCs/>
          <w:color w:val="auto"/>
          <w:kern w:val="0"/>
          <w:sz w:val="32"/>
          <w:szCs w:val="32"/>
          <w:highlight w:val="none"/>
        </w:rPr>
        <w:t>签证完工确认单</w:t>
      </w:r>
      <w:bookmarkEnd w:id="248"/>
      <w:bookmarkEnd w:id="249"/>
      <w:r>
        <w:rPr>
          <w:rFonts w:hint="eastAsia" w:ascii="宋体" w:hAnsi="宋体" w:cs="宋体"/>
          <w:b/>
          <w:bCs/>
          <w:color w:val="auto"/>
          <w:kern w:val="0"/>
          <w:sz w:val="32"/>
          <w:szCs w:val="32"/>
          <w:highlight w:val="none"/>
        </w:rPr>
        <w:t xml:space="preserve"> </w:t>
      </w:r>
      <w:r>
        <w:rPr>
          <w:rFonts w:hint="eastAsia" w:ascii="宋体" w:hAnsi="宋体" w:cs="宋体"/>
          <w:b/>
          <w:bCs/>
          <w:color w:val="auto"/>
          <w:sz w:val="32"/>
          <w:szCs w:val="32"/>
          <w:highlight w:val="none"/>
        </w:rPr>
        <w:t xml:space="preserve"> </w:t>
      </w:r>
      <w:r>
        <w:rPr>
          <w:rFonts w:hint="eastAsia" w:eastAsia="黑体"/>
          <w:bCs/>
          <w:color w:val="auto"/>
          <w:sz w:val="28"/>
          <w:szCs w:val="28"/>
          <w:highlight w:val="none"/>
        </w:rPr>
        <w:t xml:space="preserve">                </w:t>
      </w:r>
      <w:r>
        <w:rPr>
          <w:rFonts w:hint="eastAsia" w:ascii="仿宋_GB2312" w:hAnsi="宋体" w:eastAsia="仿宋_GB2312"/>
          <w:color w:val="auto"/>
          <w:sz w:val="28"/>
          <w:szCs w:val="28"/>
          <w:highlight w:val="none"/>
        </w:rPr>
        <w:t xml:space="preserve">    </w:t>
      </w:r>
    </w:p>
    <w:p>
      <w:pPr>
        <w:ind w:right="-35"/>
        <w:rPr>
          <w:rFonts w:hint="eastAsia" w:ascii="宋体" w:hAnsi="宋体" w:cs="宋体"/>
          <w:color w:val="auto"/>
          <w:sz w:val="20"/>
          <w:highlight w:val="none"/>
          <w:u w:val="single"/>
        </w:rPr>
      </w:pPr>
      <w:r>
        <w:rPr>
          <w:rFonts w:hint="eastAsia" w:ascii="宋体" w:hAnsi="宋体" w:cs="宋体"/>
          <w:color w:val="auto"/>
          <w:spacing w:val="-10"/>
          <w:sz w:val="20"/>
          <w:highlight w:val="none"/>
        </w:rPr>
        <w:t>确认单编号：</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2416"/>
        <w:gridCol w:w="2410"/>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837" w:type="dxa"/>
            <w:vAlign w:val="center"/>
          </w:tcPr>
          <w:p>
            <w:pPr>
              <w:spacing w:line="360" w:lineRule="exact"/>
              <w:jc w:val="center"/>
              <w:rPr>
                <w:rFonts w:hint="eastAsia" w:ascii="宋体" w:hAnsi="宋体" w:cs="宋体"/>
                <w:color w:val="auto"/>
                <w:spacing w:val="-10"/>
                <w:sz w:val="20"/>
                <w:highlight w:val="none"/>
              </w:rPr>
            </w:pPr>
            <w:r>
              <w:rPr>
                <w:rFonts w:hint="eastAsia" w:ascii="宋体" w:hAnsi="宋体" w:cs="宋体"/>
                <w:color w:val="auto"/>
                <w:sz w:val="20"/>
                <w:highlight w:val="none"/>
              </w:rPr>
              <w:t>项目名称</w:t>
            </w:r>
          </w:p>
        </w:tc>
        <w:tc>
          <w:tcPr>
            <w:tcW w:w="7235" w:type="dxa"/>
            <w:gridSpan w:val="3"/>
            <w:vAlign w:val="center"/>
          </w:tcPr>
          <w:p>
            <w:pPr>
              <w:spacing w:line="360" w:lineRule="exact"/>
              <w:jc w:val="center"/>
              <w:rPr>
                <w:rFonts w:hint="eastAsia" w:ascii="宋体" w:hAnsi="宋体" w:cs="宋体"/>
                <w:color w:val="auto"/>
                <w:spacing w:val="-1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837" w:type="dxa"/>
            <w:vAlign w:val="center"/>
          </w:tcPr>
          <w:p>
            <w:pPr>
              <w:spacing w:line="360" w:lineRule="exact"/>
              <w:jc w:val="center"/>
              <w:rPr>
                <w:rFonts w:hint="eastAsia" w:ascii="宋体" w:hAnsi="宋体" w:cs="宋体"/>
                <w:color w:val="auto"/>
                <w:spacing w:val="-10"/>
                <w:sz w:val="20"/>
                <w:highlight w:val="none"/>
              </w:rPr>
            </w:pPr>
            <w:r>
              <w:rPr>
                <w:rFonts w:hint="eastAsia" w:ascii="宋体" w:hAnsi="宋体" w:cs="宋体"/>
                <w:color w:val="auto"/>
                <w:sz w:val="20"/>
                <w:highlight w:val="none"/>
              </w:rPr>
              <w:t>分包单位</w:t>
            </w:r>
          </w:p>
        </w:tc>
        <w:tc>
          <w:tcPr>
            <w:tcW w:w="2416" w:type="dxa"/>
            <w:vAlign w:val="center"/>
          </w:tcPr>
          <w:p>
            <w:pPr>
              <w:spacing w:line="360" w:lineRule="exact"/>
              <w:jc w:val="center"/>
              <w:rPr>
                <w:rFonts w:hint="eastAsia" w:ascii="宋体" w:hAnsi="宋体" w:cs="宋体"/>
                <w:color w:val="auto"/>
                <w:spacing w:val="-10"/>
                <w:sz w:val="20"/>
                <w:highlight w:val="none"/>
              </w:rPr>
            </w:pPr>
          </w:p>
        </w:tc>
        <w:tc>
          <w:tcPr>
            <w:tcW w:w="2410" w:type="dxa"/>
            <w:vAlign w:val="center"/>
          </w:tcPr>
          <w:p>
            <w:pPr>
              <w:spacing w:line="360" w:lineRule="exact"/>
              <w:jc w:val="center"/>
              <w:rPr>
                <w:rFonts w:hint="eastAsia" w:ascii="宋体" w:hAnsi="宋体" w:cs="宋体"/>
                <w:color w:val="auto"/>
                <w:spacing w:val="-10"/>
                <w:sz w:val="20"/>
                <w:highlight w:val="none"/>
              </w:rPr>
            </w:pPr>
            <w:r>
              <w:rPr>
                <w:rFonts w:hint="eastAsia" w:ascii="宋体" w:hAnsi="宋体" w:cs="宋体"/>
                <w:color w:val="auto"/>
                <w:sz w:val="20"/>
                <w:highlight w:val="none"/>
                <w:lang w:val="en-US" w:eastAsia="zh-CN"/>
              </w:rPr>
              <w:t>分包</w:t>
            </w:r>
            <w:r>
              <w:rPr>
                <w:rFonts w:hint="eastAsia" w:ascii="宋体" w:hAnsi="宋体" w:cs="宋体"/>
                <w:color w:val="auto"/>
                <w:sz w:val="20"/>
                <w:highlight w:val="none"/>
              </w:rPr>
              <w:t>合同名称</w:t>
            </w:r>
          </w:p>
        </w:tc>
        <w:tc>
          <w:tcPr>
            <w:tcW w:w="2409" w:type="dxa"/>
            <w:vAlign w:val="center"/>
          </w:tcPr>
          <w:p>
            <w:pPr>
              <w:spacing w:line="360" w:lineRule="exact"/>
              <w:rPr>
                <w:rFonts w:hint="eastAsia" w:ascii="宋体" w:hAnsi="宋体" w:cs="宋体"/>
                <w:color w:val="auto"/>
                <w:spacing w:val="-1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837" w:type="dxa"/>
            <w:vAlign w:val="center"/>
          </w:tcPr>
          <w:p>
            <w:pPr>
              <w:spacing w:line="360" w:lineRule="exact"/>
              <w:jc w:val="center"/>
              <w:rPr>
                <w:rFonts w:hint="eastAsia" w:ascii="宋体" w:hAnsi="宋体" w:cs="宋体"/>
                <w:color w:val="auto"/>
                <w:spacing w:val="-10"/>
                <w:sz w:val="20"/>
                <w:highlight w:val="none"/>
              </w:rPr>
            </w:pPr>
            <w:r>
              <w:rPr>
                <w:rFonts w:hint="eastAsia" w:ascii="宋体" w:hAnsi="宋体" w:cs="宋体"/>
                <w:color w:val="auto"/>
                <w:sz w:val="20"/>
                <w:highlight w:val="none"/>
                <w:lang w:val="en-US" w:eastAsia="zh-CN"/>
              </w:rPr>
              <w:t>分包</w:t>
            </w:r>
            <w:r>
              <w:rPr>
                <w:rFonts w:hint="eastAsia" w:ascii="宋体" w:hAnsi="宋体" w:cs="宋体"/>
                <w:color w:val="auto"/>
                <w:sz w:val="20"/>
                <w:highlight w:val="none"/>
              </w:rPr>
              <w:t>合同编号</w:t>
            </w:r>
          </w:p>
        </w:tc>
        <w:tc>
          <w:tcPr>
            <w:tcW w:w="2416" w:type="dxa"/>
            <w:vAlign w:val="center"/>
          </w:tcPr>
          <w:p>
            <w:pPr>
              <w:spacing w:line="360" w:lineRule="exact"/>
              <w:jc w:val="center"/>
              <w:rPr>
                <w:rFonts w:hint="eastAsia" w:ascii="宋体" w:hAnsi="宋体" w:cs="宋体"/>
                <w:color w:val="auto"/>
                <w:spacing w:val="-10"/>
                <w:sz w:val="20"/>
                <w:highlight w:val="none"/>
              </w:rPr>
            </w:pPr>
          </w:p>
        </w:tc>
        <w:tc>
          <w:tcPr>
            <w:tcW w:w="2410" w:type="dxa"/>
            <w:vAlign w:val="center"/>
          </w:tcPr>
          <w:p>
            <w:pPr>
              <w:spacing w:line="360" w:lineRule="exact"/>
              <w:jc w:val="center"/>
              <w:rPr>
                <w:rFonts w:hint="eastAsia" w:ascii="宋体" w:hAnsi="宋体" w:cs="宋体"/>
                <w:color w:val="auto"/>
                <w:spacing w:val="-10"/>
                <w:sz w:val="20"/>
                <w:highlight w:val="none"/>
              </w:rPr>
            </w:pPr>
            <w:r>
              <w:rPr>
                <w:rFonts w:hint="eastAsia" w:ascii="宋体" w:hAnsi="宋体" w:cs="宋体"/>
                <w:color w:val="auto"/>
                <w:spacing w:val="-10"/>
                <w:sz w:val="20"/>
                <w:highlight w:val="none"/>
              </w:rPr>
              <w:t>完成日期</w:t>
            </w:r>
          </w:p>
        </w:tc>
        <w:tc>
          <w:tcPr>
            <w:tcW w:w="2409" w:type="dxa"/>
            <w:vAlign w:val="center"/>
          </w:tcPr>
          <w:p>
            <w:pPr>
              <w:spacing w:line="360" w:lineRule="exact"/>
              <w:rPr>
                <w:rFonts w:hint="eastAsia" w:ascii="宋体" w:hAnsi="宋体" w:cs="宋体"/>
                <w:color w:val="auto"/>
                <w:spacing w:val="-1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jc w:val="center"/>
        </w:trPr>
        <w:tc>
          <w:tcPr>
            <w:tcW w:w="1837" w:type="dxa"/>
            <w:vAlign w:val="center"/>
          </w:tcPr>
          <w:p>
            <w:pPr>
              <w:spacing w:line="360" w:lineRule="exact"/>
              <w:jc w:val="center"/>
              <w:rPr>
                <w:rFonts w:hint="eastAsia" w:ascii="宋体" w:hAnsi="宋体" w:cs="宋体"/>
                <w:color w:val="auto"/>
                <w:spacing w:val="-10"/>
                <w:sz w:val="20"/>
                <w:highlight w:val="none"/>
              </w:rPr>
            </w:pPr>
            <w:r>
              <w:rPr>
                <w:rFonts w:hint="eastAsia" w:ascii="宋体" w:hAnsi="宋体" w:cs="宋体"/>
                <w:color w:val="auto"/>
                <w:spacing w:val="-10"/>
                <w:sz w:val="20"/>
                <w:highlight w:val="none"/>
              </w:rPr>
              <w:t>附件名称</w:t>
            </w:r>
          </w:p>
          <w:p>
            <w:pPr>
              <w:spacing w:line="360" w:lineRule="exact"/>
              <w:jc w:val="center"/>
              <w:rPr>
                <w:rFonts w:hint="eastAsia" w:ascii="宋体" w:hAnsi="宋体" w:cs="宋体"/>
                <w:color w:val="auto"/>
                <w:spacing w:val="-10"/>
                <w:sz w:val="20"/>
                <w:highlight w:val="none"/>
              </w:rPr>
            </w:pPr>
            <w:r>
              <w:rPr>
                <w:rFonts w:hint="eastAsia" w:ascii="宋体" w:hAnsi="宋体" w:cs="宋体"/>
                <w:color w:val="auto"/>
                <w:spacing w:val="-10"/>
                <w:sz w:val="20"/>
                <w:highlight w:val="none"/>
              </w:rPr>
              <w:t>及页数</w:t>
            </w:r>
          </w:p>
        </w:tc>
        <w:tc>
          <w:tcPr>
            <w:tcW w:w="7235" w:type="dxa"/>
            <w:gridSpan w:val="3"/>
          </w:tcPr>
          <w:p>
            <w:pPr>
              <w:spacing w:line="360" w:lineRule="exact"/>
              <w:rPr>
                <w:rFonts w:hint="eastAsia" w:ascii="宋体" w:hAnsi="宋体" w:cs="宋体"/>
                <w:color w:val="auto"/>
                <w:spacing w:val="-1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exact"/>
          <w:jc w:val="center"/>
        </w:trPr>
        <w:tc>
          <w:tcPr>
            <w:tcW w:w="1837" w:type="dxa"/>
            <w:vAlign w:val="center"/>
          </w:tcPr>
          <w:p>
            <w:pPr>
              <w:spacing w:line="360" w:lineRule="exact"/>
              <w:jc w:val="center"/>
              <w:rPr>
                <w:rFonts w:hint="eastAsia" w:ascii="宋体" w:hAnsi="宋体" w:cs="宋体"/>
                <w:color w:val="auto"/>
                <w:spacing w:val="-10"/>
                <w:sz w:val="20"/>
                <w:highlight w:val="none"/>
              </w:rPr>
            </w:pPr>
            <w:r>
              <w:rPr>
                <w:rFonts w:hint="eastAsia" w:ascii="宋体" w:hAnsi="宋体" w:cs="宋体"/>
                <w:color w:val="auto"/>
                <w:spacing w:val="-10"/>
                <w:sz w:val="20"/>
                <w:highlight w:val="none"/>
              </w:rPr>
              <w:t>签证完成</w:t>
            </w:r>
          </w:p>
          <w:p>
            <w:pPr>
              <w:spacing w:line="360" w:lineRule="exact"/>
              <w:jc w:val="center"/>
              <w:rPr>
                <w:rFonts w:hint="eastAsia" w:ascii="宋体" w:hAnsi="宋体" w:cs="宋体"/>
                <w:color w:val="auto"/>
                <w:spacing w:val="-10"/>
                <w:sz w:val="20"/>
                <w:highlight w:val="none"/>
              </w:rPr>
            </w:pPr>
            <w:r>
              <w:rPr>
                <w:rFonts w:hint="eastAsia" w:ascii="宋体" w:hAnsi="宋体" w:cs="宋体"/>
                <w:color w:val="auto"/>
                <w:spacing w:val="-10"/>
                <w:sz w:val="20"/>
                <w:highlight w:val="none"/>
              </w:rPr>
              <w:t>事实详述</w:t>
            </w:r>
          </w:p>
        </w:tc>
        <w:tc>
          <w:tcPr>
            <w:tcW w:w="7235" w:type="dxa"/>
            <w:gridSpan w:val="3"/>
          </w:tcPr>
          <w:p>
            <w:pPr>
              <w:spacing w:line="360" w:lineRule="exact"/>
              <w:rPr>
                <w:rFonts w:hint="eastAsia" w:ascii="宋体" w:hAnsi="宋体" w:cs="宋体"/>
                <w:color w:val="auto"/>
                <w:spacing w:val="-10"/>
                <w:sz w:val="20"/>
                <w:highlight w:val="none"/>
              </w:rPr>
            </w:pPr>
          </w:p>
          <w:p>
            <w:pPr>
              <w:spacing w:line="360" w:lineRule="exact"/>
              <w:rPr>
                <w:rFonts w:hint="eastAsia" w:ascii="宋体" w:hAnsi="宋体" w:cs="宋体"/>
                <w:color w:val="auto"/>
                <w:spacing w:val="-10"/>
                <w:sz w:val="20"/>
                <w:highlight w:val="none"/>
              </w:rPr>
            </w:pPr>
          </w:p>
          <w:p>
            <w:pPr>
              <w:spacing w:line="360" w:lineRule="exact"/>
              <w:rPr>
                <w:rFonts w:hint="eastAsia" w:ascii="宋体" w:hAnsi="宋体" w:cs="宋体"/>
                <w:color w:val="auto"/>
                <w:spacing w:val="-10"/>
                <w:sz w:val="20"/>
                <w:highlight w:val="none"/>
              </w:rPr>
            </w:pPr>
          </w:p>
          <w:p>
            <w:pPr>
              <w:spacing w:line="360" w:lineRule="exact"/>
              <w:rPr>
                <w:rFonts w:hint="eastAsia" w:ascii="宋体" w:hAnsi="宋体" w:cs="宋体"/>
                <w:color w:val="auto"/>
                <w:spacing w:val="-10"/>
                <w:sz w:val="20"/>
                <w:highlight w:val="none"/>
              </w:rPr>
            </w:pPr>
          </w:p>
          <w:p>
            <w:pPr>
              <w:spacing w:line="360" w:lineRule="exact"/>
              <w:rPr>
                <w:rFonts w:hint="eastAsia" w:ascii="宋体" w:hAnsi="宋体" w:cs="宋体"/>
                <w:color w:val="auto"/>
                <w:spacing w:val="-1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exact"/>
          <w:jc w:val="center"/>
        </w:trPr>
        <w:tc>
          <w:tcPr>
            <w:tcW w:w="1837" w:type="dxa"/>
            <w:vAlign w:val="center"/>
          </w:tcPr>
          <w:p>
            <w:pPr>
              <w:spacing w:line="360" w:lineRule="exact"/>
              <w:jc w:val="center"/>
              <w:rPr>
                <w:rFonts w:hint="eastAsia" w:ascii="宋体" w:hAnsi="宋体" w:cs="宋体"/>
                <w:color w:val="auto"/>
                <w:spacing w:val="-10"/>
                <w:sz w:val="20"/>
                <w:highlight w:val="none"/>
              </w:rPr>
            </w:pPr>
            <w:r>
              <w:rPr>
                <w:rFonts w:hint="eastAsia" w:ascii="宋体" w:hAnsi="宋体" w:cs="宋体"/>
                <w:color w:val="auto"/>
                <w:spacing w:val="-10"/>
                <w:sz w:val="20"/>
                <w:highlight w:val="none"/>
              </w:rPr>
              <w:t>工程量</w:t>
            </w:r>
          </w:p>
          <w:p>
            <w:pPr>
              <w:spacing w:line="360" w:lineRule="exact"/>
              <w:jc w:val="center"/>
              <w:rPr>
                <w:rFonts w:hint="eastAsia" w:ascii="宋体" w:hAnsi="宋体" w:cs="宋体"/>
                <w:color w:val="auto"/>
                <w:spacing w:val="-10"/>
                <w:sz w:val="20"/>
                <w:highlight w:val="none"/>
              </w:rPr>
            </w:pPr>
            <w:r>
              <w:rPr>
                <w:rFonts w:hint="eastAsia" w:ascii="宋体" w:hAnsi="宋体" w:cs="宋体"/>
                <w:color w:val="auto"/>
                <w:spacing w:val="-10"/>
                <w:sz w:val="20"/>
                <w:highlight w:val="none"/>
              </w:rPr>
              <w:t>（计算式附后）</w:t>
            </w:r>
          </w:p>
          <w:p>
            <w:pPr>
              <w:spacing w:line="360" w:lineRule="exact"/>
              <w:jc w:val="center"/>
              <w:rPr>
                <w:rFonts w:hint="eastAsia" w:ascii="宋体" w:hAnsi="宋体" w:cs="宋体"/>
                <w:color w:val="auto"/>
                <w:spacing w:val="-10"/>
                <w:sz w:val="20"/>
                <w:highlight w:val="none"/>
              </w:rPr>
            </w:pPr>
          </w:p>
        </w:tc>
        <w:tc>
          <w:tcPr>
            <w:tcW w:w="7235" w:type="dxa"/>
            <w:gridSpan w:val="3"/>
          </w:tcPr>
          <w:p>
            <w:pPr>
              <w:spacing w:line="360" w:lineRule="exact"/>
              <w:rPr>
                <w:rFonts w:hint="eastAsia" w:ascii="宋体" w:hAnsi="宋体" w:cs="宋体"/>
                <w:color w:val="auto"/>
                <w:spacing w:val="-10"/>
                <w:sz w:val="20"/>
                <w:highlight w:val="none"/>
              </w:rPr>
            </w:pPr>
          </w:p>
          <w:p>
            <w:pPr>
              <w:spacing w:line="360" w:lineRule="exact"/>
              <w:rPr>
                <w:rFonts w:hint="eastAsia" w:ascii="宋体" w:hAnsi="宋体" w:cs="宋体"/>
                <w:color w:val="auto"/>
                <w:spacing w:val="-10"/>
                <w:sz w:val="20"/>
                <w:highlight w:val="none"/>
              </w:rPr>
            </w:pPr>
          </w:p>
          <w:p>
            <w:pPr>
              <w:spacing w:line="360" w:lineRule="exact"/>
              <w:rPr>
                <w:rFonts w:hint="eastAsia" w:ascii="宋体" w:hAnsi="宋体" w:cs="宋体"/>
                <w:color w:val="auto"/>
                <w:spacing w:val="-10"/>
                <w:sz w:val="20"/>
                <w:highlight w:val="none"/>
              </w:rPr>
            </w:pPr>
          </w:p>
          <w:p>
            <w:pPr>
              <w:spacing w:line="360" w:lineRule="exact"/>
              <w:rPr>
                <w:rFonts w:hint="eastAsia" w:ascii="宋体" w:hAnsi="宋体" w:cs="宋体"/>
                <w:color w:val="auto"/>
                <w:spacing w:val="-10"/>
                <w:sz w:val="20"/>
                <w:highlight w:val="none"/>
              </w:rPr>
            </w:pPr>
          </w:p>
          <w:p>
            <w:pPr>
              <w:widowControl/>
              <w:ind w:firstLine="3400" w:firstLineChars="1700"/>
              <w:jc w:val="left"/>
              <w:rPr>
                <w:rFonts w:hint="eastAsia" w:ascii="宋体" w:hAnsi="宋体" w:cs="宋体"/>
                <w:color w:val="auto"/>
                <w:kern w:val="0"/>
                <w:sz w:val="20"/>
                <w:highlight w:val="none"/>
              </w:rPr>
            </w:pPr>
            <w:r>
              <w:rPr>
                <w:rFonts w:hint="eastAsia" w:ascii="宋体" w:hAnsi="宋体" w:cs="宋体"/>
                <w:color w:val="auto"/>
                <w:kern w:val="0"/>
                <w:sz w:val="20"/>
                <w:highlight w:val="none"/>
              </w:rPr>
              <w:t>分包单位：</w:t>
            </w:r>
            <w:r>
              <w:rPr>
                <w:rFonts w:hint="eastAsia" w:ascii="宋体" w:hAnsi="宋体" w:cs="宋体"/>
                <w:color w:val="auto"/>
                <w:kern w:val="0"/>
                <w:sz w:val="20"/>
                <w:highlight w:val="none"/>
                <w:u w:val="single"/>
              </w:rPr>
              <w:t xml:space="preserve">   （盖章）    </w:t>
            </w:r>
            <w:r>
              <w:rPr>
                <w:rFonts w:hint="eastAsia" w:ascii="宋体" w:hAnsi="宋体" w:cs="宋体"/>
                <w:color w:val="auto"/>
                <w:kern w:val="0"/>
                <w:sz w:val="20"/>
                <w:highlight w:val="none"/>
              </w:rPr>
              <w:t xml:space="preserve">     </w:t>
            </w:r>
          </w:p>
          <w:p>
            <w:pPr>
              <w:tabs>
                <w:tab w:val="left" w:pos="5399"/>
                <w:tab w:val="left" w:pos="5576"/>
              </w:tabs>
              <w:spacing w:line="360" w:lineRule="exact"/>
              <w:ind w:firstLine="3000" w:firstLineChars="1500"/>
              <w:rPr>
                <w:rFonts w:hint="eastAsia" w:ascii="宋体" w:hAnsi="宋体" w:cs="宋体"/>
                <w:color w:val="auto"/>
                <w:spacing w:val="-10"/>
                <w:sz w:val="20"/>
                <w:highlight w:val="none"/>
                <w:u w:val="single"/>
              </w:rPr>
            </w:pPr>
            <w:r>
              <w:rPr>
                <w:rFonts w:hint="eastAsia" w:ascii="宋体" w:hAnsi="宋体" w:cs="宋体"/>
                <w:color w:val="auto"/>
                <w:kern w:val="0"/>
                <w:sz w:val="20"/>
                <w:highlight w:val="none"/>
              </w:rPr>
              <w:t xml:space="preserve">    日    期：</w:t>
            </w:r>
            <w:r>
              <w:rPr>
                <w:rFonts w:hint="eastAsia" w:ascii="宋体" w:hAnsi="宋体" w:cs="宋体"/>
                <w:color w:val="auto"/>
                <w:kern w:val="0"/>
                <w:sz w:val="20"/>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837" w:type="dxa"/>
            <w:vAlign w:val="center"/>
          </w:tcPr>
          <w:p>
            <w:pPr>
              <w:spacing w:line="360" w:lineRule="exact"/>
              <w:jc w:val="center"/>
              <w:rPr>
                <w:rFonts w:hint="eastAsia" w:ascii="宋体" w:hAnsi="宋体" w:cs="宋体"/>
                <w:color w:val="auto"/>
                <w:spacing w:val="-10"/>
                <w:sz w:val="20"/>
                <w:highlight w:val="none"/>
              </w:rPr>
            </w:pPr>
            <w:r>
              <w:rPr>
                <w:rFonts w:hint="eastAsia" w:ascii="宋体" w:hAnsi="宋体" w:cs="宋体"/>
                <w:color w:val="auto"/>
                <w:spacing w:val="-10"/>
                <w:sz w:val="20"/>
                <w:highlight w:val="none"/>
              </w:rPr>
              <w:t>项目</w:t>
            </w:r>
            <w:r>
              <w:rPr>
                <w:rFonts w:hint="eastAsia" w:ascii="宋体" w:hAnsi="宋体" w:cs="宋体"/>
                <w:color w:val="auto"/>
                <w:spacing w:val="-10"/>
                <w:sz w:val="20"/>
                <w:highlight w:val="none"/>
                <w:lang w:val="en-US" w:eastAsia="zh-CN"/>
              </w:rPr>
              <w:t>工长</w:t>
            </w:r>
            <w:r>
              <w:rPr>
                <w:rFonts w:hint="eastAsia" w:ascii="宋体" w:hAnsi="宋体" w:cs="宋体"/>
                <w:color w:val="auto"/>
                <w:spacing w:val="-10"/>
                <w:sz w:val="20"/>
                <w:highlight w:val="none"/>
              </w:rPr>
              <w:t>意见</w:t>
            </w:r>
          </w:p>
        </w:tc>
        <w:tc>
          <w:tcPr>
            <w:tcW w:w="7235" w:type="dxa"/>
            <w:gridSpan w:val="3"/>
          </w:tcPr>
          <w:p>
            <w:pPr>
              <w:spacing w:line="360" w:lineRule="exact"/>
              <w:rPr>
                <w:rFonts w:hint="eastAsia" w:ascii="宋体" w:hAnsi="宋体" w:cs="宋体"/>
                <w:color w:val="auto"/>
                <w:spacing w:val="-10"/>
                <w:sz w:val="20"/>
                <w:highlight w:val="none"/>
              </w:rPr>
            </w:pPr>
          </w:p>
          <w:p>
            <w:pPr>
              <w:spacing w:line="360" w:lineRule="exact"/>
              <w:rPr>
                <w:rFonts w:hint="eastAsia" w:ascii="宋体" w:hAnsi="宋体" w:cs="宋体"/>
                <w:color w:val="auto"/>
                <w:spacing w:val="-10"/>
                <w:sz w:val="20"/>
                <w:highlight w:val="none"/>
              </w:rPr>
            </w:pPr>
          </w:p>
          <w:p>
            <w:pPr>
              <w:spacing w:line="360" w:lineRule="exact"/>
              <w:rPr>
                <w:rFonts w:hint="eastAsia" w:ascii="宋体" w:hAnsi="宋体" w:cs="宋体"/>
                <w:color w:val="auto"/>
                <w:spacing w:val="-10"/>
                <w:sz w:val="20"/>
                <w:highlight w:val="none"/>
              </w:rPr>
            </w:pPr>
          </w:p>
          <w:p>
            <w:pPr>
              <w:tabs>
                <w:tab w:val="left" w:pos="5349"/>
                <w:tab w:val="left" w:pos="5545"/>
              </w:tabs>
              <w:spacing w:line="360" w:lineRule="exact"/>
              <w:ind w:firstLine="3150" w:firstLineChars="1750"/>
              <w:jc w:val="center"/>
              <w:rPr>
                <w:rFonts w:hint="eastAsia" w:ascii="宋体" w:hAnsi="宋体" w:cs="宋体"/>
                <w:color w:val="auto"/>
                <w:spacing w:val="-10"/>
                <w:sz w:val="20"/>
                <w:highlight w:val="none"/>
              </w:rPr>
            </w:pPr>
            <w:r>
              <w:rPr>
                <w:rFonts w:hint="eastAsia" w:ascii="宋体" w:hAnsi="宋体" w:cs="宋体"/>
                <w:color w:val="auto"/>
                <w:spacing w:val="-10"/>
                <w:sz w:val="20"/>
                <w:highlight w:val="none"/>
              </w:rPr>
              <w:t>签名：</w:t>
            </w:r>
            <w:r>
              <w:rPr>
                <w:rFonts w:hint="eastAsia" w:ascii="宋体" w:hAnsi="宋体" w:cs="宋体"/>
                <w:color w:val="auto"/>
                <w:spacing w:val="-10"/>
                <w:sz w:val="20"/>
                <w:highlight w:val="none"/>
                <w:u w:val="single"/>
              </w:rPr>
              <w:t xml:space="preserve">          </w:t>
            </w:r>
            <w:r>
              <w:rPr>
                <w:rFonts w:hint="eastAsia" w:ascii="宋体" w:hAnsi="宋体" w:cs="宋体"/>
                <w:color w:val="auto"/>
                <w:spacing w:val="-10"/>
                <w:sz w:val="20"/>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837" w:type="dxa"/>
            <w:vAlign w:val="center"/>
          </w:tcPr>
          <w:p>
            <w:pPr>
              <w:spacing w:line="360" w:lineRule="exact"/>
              <w:jc w:val="center"/>
              <w:rPr>
                <w:rFonts w:hint="eastAsia" w:ascii="宋体" w:hAnsi="宋体" w:cs="宋体"/>
                <w:color w:val="auto"/>
                <w:spacing w:val="-10"/>
                <w:sz w:val="20"/>
                <w:highlight w:val="none"/>
              </w:rPr>
            </w:pPr>
            <w:r>
              <w:rPr>
                <w:rFonts w:hint="eastAsia" w:ascii="宋体" w:hAnsi="宋体" w:cs="宋体"/>
                <w:color w:val="auto"/>
                <w:spacing w:val="-10"/>
                <w:sz w:val="20"/>
                <w:highlight w:val="none"/>
              </w:rPr>
              <w:t>项目技术</w:t>
            </w:r>
            <w:r>
              <w:rPr>
                <w:rFonts w:hint="eastAsia" w:ascii="宋体" w:hAnsi="宋体" w:cs="宋体"/>
                <w:color w:val="auto"/>
                <w:spacing w:val="-10"/>
                <w:sz w:val="20"/>
                <w:highlight w:val="none"/>
                <w:lang w:val="en-US" w:eastAsia="zh-CN"/>
              </w:rPr>
              <w:t>员</w:t>
            </w:r>
            <w:r>
              <w:rPr>
                <w:rFonts w:hint="eastAsia" w:ascii="宋体" w:hAnsi="宋体" w:cs="宋体"/>
                <w:color w:val="auto"/>
                <w:spacing w:val="-10"/>
                <w:sz w:val="20"/>
                <w:highlight w:val="none"/>
              </w:rPr>
              <w:t>意见</w:t>
            </w:r>
          </w:p>
        </w:tc>
        <w:tc>
          <w:tcPr>
            <w:tcW w:w="7235" w:type="dxa"/>
            <w:gridSpan w:val="3"/>
          </w:tcPr>
          <w:p>
            <w:pPr>
              <w:spacing w:line="360" w:lineRule="exact"/>
              <w:rPr>
                <w:rFonts w:hint="eastAsia" w:ascii="宋体" w:hAnsi="宋体" w:cs="宋体"/>
                <w:color w:val="auto"/>
                <w:spacing w:val="-10"/>
                <w:sz w:val="20"/>
                <w:highlight w:val="none"/>
              </w:rPr>
            </w:pPr>
          </w:p>
          <w:p>
            <w:pPr>
              <w:spacing w:line="360" w:lineRule="exact"/>
              <w:rPr>
                <w:rFonts w:hint="eastAsia" w:ascii="宋体" w:hAnsi="宋体" w:cs="宋体"/>
                <w:color w:val="auto"/>
                <w:spacing w:val="-10"/>
                <w:sz w:val="20"/>
                <w:highlight w:val="none"/>
              </w:rPr>
            </w:pPr>
          </w:p>
          <w:p>
            <w:pPr>
              <w:spacing w:line="360" w:lineRule="exact"/>
              <w:rPr>
                <w:rFonts w:hint="eastAsia" w:ascii="宋体" w:hAnsi="宋体" w:cs="宋体"/>
                <w:color w:val="auto"/>
                <w:spacing w:val="-10"/>
                <w:sz w:val="20"/>
                <w:highlight w:val="none"/>
              </w:rPr>
            </w:pPr>
          </w:p>
          <w:p>
            <w:pPr>
              <w:tabs>
                <w:tab w:val="left" w:pos="5465"/>
              </w:tabs>
              <w:spacing w:line="360" w:lineRule="exact"/>
              <w:ind w:firstLine="3150" w:firstLineChars="1750"/>
              <w:rPr>
                <w:rFonts w:hint="eastAsia" w:ascii="宋体" w:hAnsi="宋体" w:cs="宋体"/>
                <w:color w:val="auto"/>
                <w:spacing w:val="-10"/>
                <w:sz w:val="20"/>
                <w:highlight w:val="none"/>
              </w:rPr>
            </w:pPr>
            <w:r>
              <w:rPr>
                <w:rFonts w:hint="eastAsia" w:ascii="宋体" w:hAnsi="宋体" w:cs="宋体"/>
                <w:color w:val="auto"/>
                <w:spacing w:val="-10"/>
                <w:sz w:val="20"/>
                <w:highlight w:val="none"/>
              </w:rPr>
              <w:t>签名：</w:t>
            </w:r>
            <w:r>
              <w:rPr>
                <w:rFonts w:hint="eastAsia" w:ascii="宋体" w:hAnsi="宋体" w:cs="宋体"/>
                <w:color w:val="auto"/>
                <w:spacing w:val="-10"/>
                <w:sz w:val="20"/>
                <w:highlight w:val="none"/>
                <w:u w:val="single"/>
              </w:rPr>
              <w:t xml:space="preserve">          </w:t>
            </w:r>
            <w:r>
              <w:rPr>
                <w:rFonts w:hint="eastAsia" w:ascii="宋体" w:hAnsi="宋体" w:cs="宋体"/>
                <w:color w:val="auto"/>
                <w:spacing w:val="-10"/>
                <w:sz w:val="20"/>
                <w:highlight w:val="none"/>
              </w:rPr>
              <w:t>日期：</w:t>
            </w:r>
            <w:r>
              <w:rPr>
                <w:rFonts w:hint="eastAsia" w:ascii="宋体" w:hAnsi="宋体" w:cs="宋体"/>
                <w:color w:val="auto"/>
                <w:spacing w:val="-10"/>
                <w:sz w:val="20"/>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837" w:type="dxa"/>
            <w:vAlign w:val="center"/>
          </w:tcPr>
          <w:p>
            <w:pPr>
              <w:spacing w:line="360" w:lineRule="exact"/>
              <w:jc w:val="center"/>
              <w:rPr>
                <w:rFonts w:hint="eastAsia" w:ascii="宋体" w:hAnsi="宋体" w:cs="宋体"/>
                <w:color w:val="auto"/>
                <w:spacing w:val="-10"/>
                <w:sz w:val="20"/>
                <w:highlight w:val="none"/>
              </w:rPr>
            </w:pPr>
            <w:r>
              <w:rPr>
                <w:rFonts w:hint="eastAsia" w:ascii="宋体" w:hAnsi="宋体" w:cs="宋体"/>
                <w:color w:val="auto"/>
                <w:spacing w:val="-10"/>
                <w:sz w:val="20"/>
                <w:highlight w:val="none"/>
              </w:rPr>
              <w:t>项目</w:t>
            </w:r>
            <w:r>
              <w:rPr>
                <w:rFonts w:hint="eastAsia" w:ascii="宋体" w:hAnsi="宋体" w:cs="宋体"/>
                <w:color w:val="auto"/>
                <w:spacing w:val="-10"/>
                <w:sz w:val="20"/>
                <w:highlight w:val="none"/>
                <w:lang w:val="en-US" w:eastAsia="zh-CN"/>
              </w:rPr>
              <w:t>预算员</w:t>
            </w:r>
            <w:r>
              <w:rPr>
                <w:rFonts w:hint="eastAsia" w:ascii="宋体" w:hAnsi="宋体" w:cs="宋体"/>
                <w:color w:val="auto"/>
                <w:spacing w:val="-10"/>
                <w:sz w:val="20"/>
                <w:highlight w:val="none"/>
              </w:rPr>
              <w:t>意见</w:t>
            </w:r>
          </w:p>
        </w:tc>
        <w:tc>
          <w:tcPr>
            <w:tcW w:w="7235" w:type="dxa"/>
            <w:gridSpan w:val="3"/>
          </w:tcPr>
          <w:p>
            <w:pPr>
              <w:spacing w:line="360" w:lineRule="exact"/>
              <w:rPr>
                <w:rFonts w:hint="eastAsia" w:ascii="宋体" w:hAnsi="宋体" w:cs="宋体"/>
                <w:color w:val="auto"/>
                <w:spacing w:val="-10"/>
                <w:sz w:val="20"/>
                <w:highlight w:val="none"/>
              </w:rPr>
            </w:pPr>
          </w:p>
          <w:p>
            <w:pPr>
              <w:spacing w:line="360" w:lineRule="exact"/>
              <w:ind w:firstLine="2880" w:firstLineChars="1600"/>
              <w:rPr>
                <w:rFonts w:hint="eastAsia" w:ascii="宋体" w:hAnsi="宋体" w:cs="宋体"/>
                <w:color w:val="auto"/>
                <w:spacing w:val="-10"/>
                <w:sz w:val="20"/>
                <w:highlight w:val="none"/>
              </w:rPr>
            </w:pPr>
          </w:p>
          <w:p>
            <w:pPr>
              <w:spacing w:line="360" w:lineRule="exact"/>
              <w:ind w:firstLine="2880" w:firstLineChars="1600"/>
              <w:rPr>
                <w:rFonts w:hint="eastAsia" w:ascii="宋体" w:hAnsi="宋体" w:cs="宋体"/>
                <w:color w:val="auto"/>
                <w:spacing w:val="-10"/>
                <w:sz w:val="20"/>
                <w:highlight w:val="none"/>
              </w:rPr>
            </w:pPr>
          </w:p>
          <w:p>
            <w:pPr>
              <w:spacing w:line="360" w:lineRule="exact"/>
              <w:ind w:firstLine="3150" w:firstLineChars="1750"/>
              <w:rPr>
                <w:rFonts w:hint="eastAsia" w:ascii="宋体" w:hAnsi="宋体" w:cs="宋体"/>
                <w:color w:val="auto"/>
                <w:spacing w:val="-10"/>
                <w:sz w:val="20"/>
                <w:highlight w:val="none"/>
              </w:rPr>
            </w:pPr>
            <w:r>
              <w:rPr>
                <w:rFonts w:hint="eastAsia" w:ascii="宋体" w:hAnsi="宋体" w:cs="宋体"/>
                <w:color w:val="auto"/>
                <w:spacing w:val="-10"/>
                <w:sz w:val="20"/>
                <w:highlight w:val="none"/>
              </w:rPr>
              <w:t>签名：</w:t>
            </w:r>
            <w:r>
              <w:rPr>
                <w:rFonts w:hint="eastAsia" w:ascii="宋体" w:hAnsi="宋体" w:cs="宋体"/>
                <w:color w:val="auto"/>
                <w:spacing w:val="-10"/>
                <w:sz w:val="20"/>
                <w:highlight w:val="none"/>
                <w:u w:val="single"/>
              </w:rPr>
              <w:t xml:space="preserve">          </w:t>
            </w:r>
            <w:r>
              <w:rPr>
                <w:rFonts w:hint="eastAsia" w:ascii="宋体" w:hAnsi="宋体" w:cs="宋体"/>
                <w:color w:val="auto"/>
                <w:spacing w:val="-10"/>
                <w:sz w:val="20"/>
                <w:highlight w:val="none"/>
              </w:rPr>
              <w:t>日期：</w:t>
            </w:r>
            <w:r>
              <w:rPr>
                <w:rFonts w:hint="eastAsia" w:ascii="宋体" w:hAnsi="宋体" w:cs="宋体"/>
                <w:color w:val="auto"/>
                <w:spacing w:val="-10"/>
                <w:sz w:val="20"/>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837" w:type="dxa"/>
            <w:vAlign w:val="center"/>
          </w:tcPr>
          <w:p>
            <w:pPr>
              <w:spacing w:line="360" w:lineRule="exact"/>
              <w:jc w:val="center"/>
              <w:rPr>
                <w:rFonts w:hint="eastAsia" w:ascii="宋体" w:hAnsi="宋体" w:cs="宋体"/>
                <w:color w:val="auto"/>
                <w:spacing w:val="-10"/>
                <w:sz w:val="20"/>
                <w:highlight w:val="none"/>
              </w:rPr>
            </w:pPr>
            <w:r>
              <w:rPr>
                <w:rFonts w:hint="eastAsia" w:ascii="宋体" w:hAnsi="宋体" w:cs="宋体"/>
                <w:color w:val="auto"/>
                <w:spacing w:val="-10"/>
                <w:sz w:val="20"/>
                <w:highlight w:val="none"/>
              </w:rPr>
              <w:t>项目经理意见</w:t>
            </w:r>
          </w:p>
        </w:tc>
        <w:tc>
          <w:tcPr>
            <w:tcW w:w="7235" w:type="dxa"/>
            <w:gridSpan w:val="3"/>
          </w:tcPr>
          <w:p>
            <w:pPr>
              <w:spacing w:line="360" w:lineRule="exact"/>
              <w:rPr>
                <w:rFonts w:hint="eastAsia" w:ascii="宋体" w:hAnsi="宋体" w:cs="宋体"/>
                <w:color w:val="auto"/>
                <w:spacing w:val="-10"/>
                <w:sz w:val="20"/>
                <w:highlight w:val="none"/>
              </w:rPr>
            </w:pPr>
          </w:p>
          <w:p>
            <w:pPr>
              <w:spacing w:line="360" w:lineRule="exact"/>
              <w:ind w:firstLine="2880" w:firstLineChars="1600"/>
              <w:rPr>
                <w:rFonts w:hint="eastAsia" w:ascii="宋体" w:hAnsi="宋体" w:cs="宋体"/>
                <w:color w:val="auto"/>
                <w:spacing w:val="-10"/>
                <w:sz w:val="20"/>
                <w:highlight w:val="none"/>
              </w:rPr>
            </w:pPr>
          </w:p>
          <w:p>
            <w:pPr>
              <w:spacing w:line="360" w:lineRule="exact"/>
              <w:ind w:firstLine="2880" w:firstLineChars="1600"/>
              <w:rPr>
                <w:rFonts w:hint="eastAsia" w:ascii="宋体" w:hAnsi="宋体" w:cs="宋体"/>
                <w:color w:val="auto"/>
                <w:spacing w:val="-10"/>
                <w:sz w:val="20"/>
                <w:highlight w:val="none"/>
              </w:rPr>
            </w:pPr>
          </w:p>
          <w:p>
            <w:pPr>
              <w:spacing w:line="360" w:lineRule="exact"/>
              <w:ind w:firstLine="3150" w:firstLineChars="1750"/>
              <w:rPr>
                <w:rFonts w:hint="eastAsia" w:ascii="宋体" w:hAnsi="宋体" w:cs="宋体"/>
                <w:color w:val="auto"/>
                <w:spacing w:val="-10"/>
                <w:sz w:val="20"/>
                <w:highlight w:val="none"/>
              </w:rPr>
            </w:pPr>
            <w:r>
              <w:rPr>
                <w:rFonts w:hint="eastAsia" w:ascii="宋体" w:hAnsi="宋体" w:cs="宋体"/>
                <w:color w:val="auto"/>
                <w:spacing w:val="-10"/>
                <w:sz w:val="20"/>
                <w:highlight w:val="none"/>
              </w:rPr>
              <w:t>签名：</w:t>
            </w:r>
            <w:r>
              <w:rPr>
                <w:rFonts w:hint="eastAsia" w:ascii="宋体" w:hAnsi="宋体" w:cs="宋体"/>
                <w:color w:val="auto"/>
                <w:spacing w:val="-10"/>
                <w:sz w:val="20"/>
                <w:highlight w:val="none"/>
                <w:u w:val="single"/>
              </w:rPr>
              <w:t xml:space="preserve">          </w:t>
            </w:r>
            <w:r>
              <w:rPr>
                <w:rFonts w:hint="eastAsia" w:ascii="宋体" w:hAnsi="宋体" w:cs="宋体"/>
                <w:color w:val="auto"/>
                <w:spacing w:val="-10"/>
                <w:sz w:val="20"/>
                <w:highlight w:val="none"/>
              </w:rPr>
              <w:t>日期：</w:t>
            </w:r>
            <w:r>
              <w:rPr>
                <w:rFonts w:hint="eastAsia" w:ascii="宋体" w:hAnsi="宋体" w:cs="宋体"/>
                <w:color w:val="auto"/>
                <w:spacing w:val="-10"/>
                <w:sz w:val="20"/>
                <w:highlight w:val="none"/>
                <w:u w:val="single"/>
              </w:rPr>
              <w:t xml:space="preserve">           </w:t>
            </w:r>
          </w:p>
        </w:tc>
      </w:tr>
    </w:tbl>
    <w:p>
      <w:pPr>
        <w:rPr>
          <w:rFonts w:hint="eastAsia" w:ascii="宋体" w:hAnsi="宋体" w:cs="宋体"/>
          <w:color w:val="auto"/>
          <w:kern w:val="0"/>
          <w:sz w:val="20"/>
          <w:highlight w:val="none"/>
        </w:rPr>
      </w:pPr>
      <w:r>
        <w:rPr>
          <w:rFonts w:hint="eastAsia" w:ascii="宋体" w:hAnsi="宋体" w:cs="宋体"/>
          <w:color w:val="auto"/>
          <w:kern w:val="0"/>
          <w:sz w:val="20"/>
          <w:highlight w:val="none"/>
        </w:rPr>
        <w:t>1. 本表格适用于项目签证的完工确认。</w:t>
      </w:r>
    </w:p>
    <w:p>
      <w:pPr>
        <w:rPr>
          <w:rFonts w:hint="eastAsia" w:ascii="仿宋_GB2312" w:hAnsi="宋体" w:eastAsia="仿宋_GB2312" w:cs="宋体"/>
          <w:color w:val="auto"/>
          <w:kern w:val="0"/>
          <w:szCs w:val="21"/>
          <w:highlight w:val="none"/>
        </w:rPr>
      </w:pPr>
      <w:r>
        <w:rPr>
          <w:rFonts w:hint="eastAsia" w:ascii="宋体" w:hAnsi="宋体" w:cs="宋体"/>
          <w:color w:val="auto"/>
          <w:kern w:val="0"/>
          <w:sz w:val="20"/>
          <w:highlight w:val="none"/>
        </w:rPr>
        <w:t>2. 此表格若用手填，字迹应工整清楚，不得另行制表；若用电脑打印，不得改变表格格式。</w:t>
      </w:r>
    </w:p>
    <w:p>
      <w:pPr>
        <w:pStyle w:val="11"/>
        <w:rPr>
          <w:color w:val="auto"/>
          <w:highlight w:val="none"/>
        </w:rPr>
        <w:sectPr>
          <w:pgSz w:w="11905" w:h="16838"/>
          <w:pgMar w:top="1440" w:right="1797" w:bottom="1440" w:left="1797" w:header="851" w:footer="992" w:gutter="567"/>
          <w:pgBorders>
            <w:top w:val="none" w:sz="0" w:space="0"/>
            <w:left w:val="none" w:sz="0" w:space="0"/>
            <w:bottom w:val="none" w:sz="0" w:space="0"/>
            <w:right w:val="none" w:sz="0" w:space="0"/>
          </w:pgBorders>
          <w:pgNumType w:fmt="decimal"/>
          <w:cols w:space="720" w:num="1"/>
          <w:rtlGutter w:val="0"/>
          <w:docGrid w:type="lines" w:linePitch="317" w:charSpace="0"/>
        </w:sectPr>
      </w:pPr>
    </w:p>
    <w:tbl>
      <w:tblPr>
        <w:tblStyle w:val="24"/>
        <w:tblW w:w="0" w:type="auto"/>
        <w:tblInd w:w="93" w:type="dxa"/>
        <w:tblLayout w:type="fixed"/>
        <w:tblCellMar>
          <w:top w:w="0" w:type="dxa"/>
          <w:left w:w="108" w:type="dxa"/>
          <w:bottom w:w="0" w:type="dxa"/>
          <w:right w:w="108" w:type="dxa"/>
        </w:tblCellMar>
      </w:tblPr>
      <w:tblGrid>
        <w:gridCol w:w="718"/>
        <w:gridCol w:w="718"/>
        <w:gridCol w:w="706"/>
        <w:gridCol w:w="2015"/>
        <w:gridCol w:w="820"/>
        <w:gridCol w:w="4237"/>
        <w:gridCol w:w="718"/>
        <w:gridCol w:w="289"/>
        <w:gridCol w:w="762"/>
        <w:gridCol w:w="798"/>
        <w:gridCol w:w="1417"/>
      </w:tblGrid>
      <w:tr>
        <w:tblPrEx>
          <w:tblCellMar>
            <w:top w:w="0" w:type="dxa"/>
            <w:left w:w="108" w:type="dxa"/>
            <w:bottom w:w="0" w:type="dxa"/>
            <w:right w:w="108" w:type="dxa"/>
          </w:tblCellMar>
        </w:tblPrEx>
        <w:trPr>
          <w:trHeight w:val="480" w:hRule="atLeast"/>
        </w:trPr>
        <w:tc>
          <w:tcPr>
            <w:tcW w:w="13198" w:type="dxa"/>
            <w:gridSpan w:val="11"/>
            <w:tcBorders>
              <w:top w:val="nil"/>
              <w:left w:val="nil"/>
              <w:bottom w:val="nil"/>
              <w:right w:val="nil"/>
            </w:tcBorders>
            <w:noWrap/>
            <w:vAlign w:val="bottom"/>
          </w:tcPr>
          <w:p>
            <w:pPr>
              <w:widowControl/>
              <w:jc w:val="center"/>
              <w:rPr>
                <w:rFonts w:eastAsia="黑体"/>
                <w:bCs/>
                <w:color w:val="auto"/>
                <w:sz w:val="28"/>
                <w:szCs w:val="28"/>
                <w:highlight w:val="none"/>
              </w:rPr>
            </w:pPr>
            <w:r>
              <w:rPr>
                <w:rFonts w:hint="eastAsia" w:ascii="宋体" w:hAnsi="宋体" w:cs="宋体"/>
                <w:b/>
                <w:bCs/>
                <w:color w:val="auto"/>
                <w:kern w:val="0"/>
                <w:sz w:val="32"/>
                <w:szCs w:val="32"/>
                <w:highlight w:val="none"/>
              </w:rPr>
              <w:t>现场签证工程量计算书</w:t>
            </w:r>
          </w:p>
        </w:tc>
      </w:tr>
      <w:tr>
        <w:tblPrEx>
          <w:tblCellMar>
            <w:top w:w="0" w:type="dxa"/>
            <w:left w:w="108" w:type="dxa"/>
            <w:bottom w:w="0" w:type="dxa"/>
            <w:right w:w="108" w:type="dxa"/>
          </w:tblCellMar>
        </w:tblPrEx>
        <w:trPr>
          <w:trHeight w:val="360" w:hRule="atLeast"/>
        </w:trPr>
        <w:tc>
          <w:tcPr>
            <w:tcW w:w="718" w:type="dxa"/>
            <w:tcBorders>
              <w:top w:val="nil"/>
              <w:left w:val="nil"/>
              <w:bottom w:val="nil"/>
              <w:right w:val="nil"/>
            </w:tcBorders>
            <w:noWrap/>
            <w:vAlign w:val="center"/>
          </w:tcPr>
          <w:p>
            <w:pPr>
              <w:widowControl/>
              <w:jc w:val="left"/>
              <w:rPr>
                <w:rFonts w:ascii="宋体" w:hAnsi="宋体" w:cs="宋体"/>
                <w:color w:val="auto"/>
                <w:kern w:val="0"/>
                <w:sz w:val="20"/>
                <w:highlight w:val="none"/>
              </w:rPr>
            </w:pPr>
          </w:p>
        </w:tc>
        <w:tc>
          <w:tcPr>
            <w:tcW w:w="718" w:type="dxa"/>
            <w:tcBorders>
              <w:top w:val="nil"/>
              <w:left w:val="nil"/>
              <w:bottom w:val="nil"/>
              <w:right w:val="nil"/>
            </w:tcBorders>
            <w:noWrap/>
            <w:vAlign w:val="center"/>
          </w:tcPr>
          <w:p>
            <w:pPr>
              <w:widowControl/>
              <w:jc w:val="left"/>
              <w:rPr>
                <w:rFonts w:ascii="宋体" w:hAnsi="宋体" w:cs="宋体"/>
                <w:color w:val="auto"/>
                <w:kern w:val="0"/>
                <w:sz w:val="20"/>
                <w:highlight w:val="none"/>
              </w:rPr>
            </w:pPr>
          </w:p>
        </w:tc>
        <w:tc>
          <w:tcPr>
            <w:tcW w:w="2721" w:type="dxa"/>
            <w:gridSpan w:val="2"/>
            <w:tcBorders>
              <w:top w:val="nil"/>
              <w:left w:val="nil"/>
              <w:bottom w:val="nil"/>
              <w:right w:val="nil"/>
            </w:tcBorders>
            <w:noWrap/>
            <w:vAlign w:val="center"/>
          </w:tcPr>
          <w:p>
            <w:pPr>
              <w:widowControl/>
              <w:jc w:val="left"/>
              <w:rPr>
                <w:rFonts w:ascii="宋体" w:hAnsi="宋体" w:cs="宋体"/>
                <w:color w:val="auto"/>
                <w:kern w:val="0"/>
                <w:sz w:val="20"/>
                <w:highlight w:val="none"/>
              </w:rPr>
            </w:pPr>
          </w:p>
        </w:tc>
        <w:tc>
          <w:tcPr>
            <w:tcW w:w="5057" w:type="dxa"/>
            <w:gridSpan w:val="2"/>
            <w:tcBorders>
              <w:top w:val="nil"/>
              <w:left w:val="nil"/>
              <w:bottom w:val="nil"/>
              <w:right w:val="nil"/>
            </w:tcBorders>
            <w:noWrap/>
            <w:vAlign w:val="center"/>
          </w:tcPr>
          <w:p>
            <w:pPr>
              <w:widowControl/>
              <w:jc w:val="left"/>
              <w:rPr>
                <w:rFonts w:ascii="宋体" w:hAnsi="宋体" w:cs="宋体"/>
                <w:color w:val="auto"/>
                <w:kern w:val="0"/>
                <w:sz w:val="20"/>
                <w:highlight w:val="none"/>
              </w:rPr>
            </w:pPr>
          </w:p>
        </w:tc>
        <w:tc>
          <w:tcPr>
            <w:tcW w:w="718" w:type="dxa"/>
            <w:tcBorders>
              <w:top w:val="nil"/>
              <w:left w:val="nil"/>
              <w:bottom w:val="nil"/>
              <w:right w:val="nil"/>
            </w:tcBorders>
            <w:noWrap/>
            <w:vAlign w:val="center"/>
          </w:tcPr>
          <w:p>
            <w:pPr>
              <w:widowControl/>
              <w:jc w:val="left"/>
              <w:rPr>
                <w:rFonts w:ascii="宋体" w:hAnsi="宋体" w:cs="宋体"/>
                <w:color w:val="auto"/>
                <w:kern w:val="0"/>
                <w:sz w:val="20"/>
                <w:highlight w:val="none"/>
              </w:rPr>
            </w:pPr>
          </w:p>
        </w:tc>
        <w:tc>
          <w:tcPr>
            <w:tcW w:w="1051" w:type="dxa"/>
            <w:gridSpan w:val="2"/>
            <w:tcBorders>
              <w:top w:val="nil"/>
              <w:left w:val="nil"/>
              <w:bottom w:val="nil"/>
              <w:right w:val="nil"/>
            </w:tcBorders>
            <w:noWrap/>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编号：</w:t>
            </w:r>
          </w:p>
        </w:tc>
        <w:tc>
          <w:tcPr>
            <w:tcW w:w="2215" w:type="dxa"/>
            <w:gridSpan w:val="2"/>
            <w:tcBorders>
              <w:top w:val="nil"/>
              <w:left w:val="nil"/>
              <w:bottom w:val="nil"/>
              <w:right w:val="nil"/>
            </w:tcBorders>
            <w:noWrap/>
            <w:vAlign w:val="bottom"/>
          </w:tcPr>
          <w:p>
            <w:pPr>
              <w:widowControl/>
              <w:jc w:val="right"/>
              <w:rPr>
                <w:rFonts w:ascii="仿宋_GB2312" w:hAnsi="宋体" w:eastAsia="仿宋_GB2312" w:cs="宋体"/>
                <w:color w:val="auto"/>
                <w:kern w:val="0"/>
                <w:sz w:val="20"/>
                <w:highlight w:val="none"/>
              </w:rPr>
            </w:pPr>
          </w:p>
        </w:tc>
      </w:tr>
      <w:tr>
        <w:tblPrEx>
          <w:tblCellMar>
            <w:top w:w="0" w:type="dxa"/>
            <w:left w:w="108" w:type="dxa"/>
            <w:bottom w:w="0" w:type="dxa"/>
            <w:right w:w="108" w:type="dxa"/>
          </w:tblCellMar>
        </w:tblPrEx>
        <w:trPr>
          <w:trHeight w:val="360" w:hRule="atLeast"/>
        </w:trPr>
        <w:tc>
          <w:tcPr>
            <w:tcW w:w="13198" w:type="dxa"/>
            <w:gridSpan w:val="11"/>
            <w:tcBorders>
              <w:top w:val="nil"/>
              <w:left w:val="nil"/>
              <w:bottom w:val="nil"/>
              <w:right w:val="nil"/>
            </w:tcBorders>
            <w:noWrap/>
            <w:vAlign w:val="center"/>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项目名称：                      分包单位：                       </w:t>
            </w:r>
            <w:r>
              <w:rPr>
                <w:rFonts w:hint="eastAsia" w:ascii="宋体" w:hAnsi="宋体" w:cs="宋体"/>
                <w:color w:val="auto"/>
                <w:kern w:val="0"/>
                <w:sz w:val="20"/>
                <w:highlight w:val="none"/>
                <w:lang w:val="en-US" w:eastAsia="zh-CN"/>
              </w:rPr>
              <w:t>分包</w:t>
            </w:r>
            <w:r>
              <w:rPr>
                <w:rFonts w:hint="eastAsia" w:ascii="宋体" w:hAnsi="宋体" w:cs="宋体"/>
                <w:color w:val="auto"/>
                <w:kern w:val="0"/>
                <w:sz w:val="20"/>
                <w:highlight w:val="none"/>
              </w:rPr>
              <w:t xml:space="preserve">合同名称：                    </w:t>
            </w:r>
            <w:r>
              <w:rPr>
                <w:rFonts w:hint="eastAsia" w:ascii="宋体" w:hAnsi="宋体" w:cs="宋体"/>
                <w:color w:val="auto"/>
                <w:kern w:val="0"/>
                <w:sz w:val="20"/>
                <w:highlight w:val="none"/>
                <w:lang w:val="en-US" w:eastAsia="zh-CN"/>
              </w:rPr>
              <w:t>分包</w:t>
            </w:r>
            <w:r>
              <w:rPr>
                <w:rFonts w:hint="eastAsia" w:ascii="宋体" w:hAnsi="宋体" w:cs="宋体"/>
                <w:color w:val="auto"/>
                <w:kern w:val="0"/>
                <w:sz w:val="20"/>
                <w:highlight w:val="none"/>
              </w:rPr>
              <w:t xml:space="preserve">合同编号：               </w:t>
            </w:r>
          </w:p>
        </w:tc>
      </w:tr>
      <w:tr>
        <w:tblPrEx>
          <w:tblCellMar>
            <w:top w:w="0" w:type="dxa"/>
            <w:left w:w="108" w:type="dxa"/>
            <w:bottom w:w="0" w:type="dxa"/>
            <w:right w:w="108" w:type="dxa"/>
          </w:tblCellMar>
        </w:tblPrEx>
        <w:trPr>
          <w:trHeight w:val="360" w:hRule="atLeast"/>
        </w:trPr>
        <w:tc>
          <w:tcPr>
            <w:tcW w:w="718"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序号</w:t>
            </w:r>
          </w:p>
        </w:tc>
        <w:tc>
          <w:tcPr>
            <w:tcW w:w="1424" w:type="dxa"/>
            <w:gridSpan w:val="2"/>
            <w:tcBorders>
              <w:top w:val="single" w:color="auto" w:sz="4" w:space="0"/>
              <w:left w:val="nil"/>
              <w:bottom w:val="single" w:color="auto" w:sz="4" w:space="0"/>
              <w:right w:val="single" w:color="auto" w:sz="4" w:space="0"/>
            </w:tcBorders>
            <w:noWrap/>
            <w:vAlign w:val="bottom"/>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部位</w:t>
            </w:r>
          </w:p>
        </w:tc>
        <w:tc>
          <w:tcPr>
            <w:tcW w:w="2835" w:type="dxa"/>
            <w:gridSpan w:val="2"/>
            <w:tcBorders>
              <w:top w:val="single" w:color="auto" w:sz="4" w:space="0"/>
              <w:left w:val="nil"/>
              <w:bottom w:val="single" w:color="auto" w:sz="4" w:space="0"/>
              <w:right w:val="single" w:color="auto" w:sz="4" w:space="0"/>
            </w:tcBorders>
            <w:noWrap/>
            <w:vAlign w:val="bottom"/>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签证工程项目名称</w:t>
            </w:r>
          </w:p>
        </w:tc>
        <w:tc>
          <w:tcPr>
            <w:tcW w:w="4237" w:type="dxa"/>
            <w:tcBorders>
              <w:top w:val="single" w:color="auto" w:sz="4" w:space="0"/>
              <w:left w:val="nil"/>
              <w:bottom w:val="single" w:color="auto" w:sz="4" w:space="0"/>
              <w:right w:val="single" w:color="auto" w:sz="4" w:space="0"/>
            </w:tcBorders>
            <w:noWrap/>
            <w:vAlign w:val="bottom"/>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计   算   式    或    说    明</w:t>
            </w:r>
          </w:p>
        </w:tc>
        <w:tc>
          <w:tcPr>
            <w:tcW w:w="1007" w:type="dxa"/>
            <w:gridSpan w:val="2"/>
            <w:tcBorders>
              <w:top w:val="single" w:color="auto" w:sz="4" w:space="0"/>
              <w:left w:val="nil"/>
              <w:bottom w:val="single" w:color="auto" w:sz="4" w:space="0"/>
              <w:right w:val="single" w:color="auto" w:sz="4" w:space="0"/>
            </w:tcBorders>
            <w:noWrap/>
            <w:vAlign w:val="bottom"/>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单位</w:t>
            </w:r>
          </w:p>
        </w:tc>
        <w:tc>
          <w:tcPr>
            <w:tcW w:w="1560" w:type="dxa"/>
            <w:gridSpan w:val="2"/>
            <w:tcBorders>
              <w:top w:val="single" w:color="auto" w:sz="4" w:space="0"/>
              <w:left w:val="nil"/>
              <w:bottom w:val="single" w:color="auto" w:sz="4" w:space="0"/>
              <w:right w:val="single" w:color="auto" w:sz="4" w:space="0"/>
            </w:tcBorders>
            <w:noWrap/>
            <w:vAlign w:val="bottom"/>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数量</w:t>
            </w:r>
          </w:p>
        </w:tc>
        <w:tc>
          <w:tcPr>
            <w:tcW w:w="1417" w:type="dxa"/>
            <w:tcBorders>
              <w:top w:val="single" w:color="auto" w:sz="4" w:space="0"/>
              <w:left w:val="nil"/>
              <w:bottom w:val="single" w:color="auto" w:sz="4" w:space="0"/>
              <w:right w:val="single" w:color="auto" w:sz="4" w:space="0"/>
            </w:tcBorders>
            <w:noWrap/>
            <w:vAlign w:val="bottom"/>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备注</w:t>
            </w:r>
          </w:p>
        </w:tc>
      </w:tr>
      <w:tr>
        <w:tblPrEx>
          <w:tblCellMar>
            <w:top w:w="0" w:type="dxa"/>
            <w:left w:w="108" w:type="dxa"/>
            <w:bottom w:w="0" w:type="dxa"/>
            <w:right w:w="108" w:type="dxa"/>
          </w:tblCellMar>
        </w:tblPrEx>
        <w:trPr>
          <w:trHeight w:val="360" w:hRule="atLeast"/>
        </w:trPr>
        <w:tc>
          <w:tcPr>
            <w:tcW w:w="718" w:type="dxa"/>
            <w:tcBorders>
              <w:top w:val="nil"/>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24"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2835"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423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007"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560"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1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r>
      <w:tr>
        <w:tblPrEx>
          <w:tblCellMar>
            <w:top w:w="0" w:type="dxa"/>
            <w:left w:w="108" w:type="dxa"/>
            <w:bottom w:w="0" w:type="dxa"/>
            <w:right w:w="108" w:type="dxa"/>
          </w:tblCellMar>
        </w:tblPrEx>
        <w:trPr>
          <w:trHeight w:val="330" w:hRule="atLeast"/>
        </w:trPr>
        <w:tc>
          <w:tcPr>
            <w:tcW w:w="718" w:type="dxa"/>
            <w:tcBorders>
              <w:top w:val="nil"/>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24"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2835"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423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007"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560"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1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r>
      <w:tr>
        <w:tblPrEx>
          <w:tblCellMar>
            <w:top w:w="0" w:type="dxa"/>
            <w:left w:w="108" w:type="dxa"/>
            <w:bottom w:w="0" w:type="dxa"/>
            <w:right w:w="108" w:type="dxa"/>
          </w:tblCellMar>
        </w:tblPrEx>
        <w:trPr>
          <w:trHeight w:val="330" w:hRule="atLeast"/>
        </w:trPr>
        <w:tc>
          <w:tcPr>
            <w:tcW w:w="718" w:type="dxa"/>
            <w:tcBorders>
              <w:top w:val="nil"/>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24"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2835"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423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007"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560"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1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r>
      <w:tr>
        <w:tblPrEx>
          <w:tblCellMar>
            <w:top w:w="0" w:type="dxa"/>
            <w:left w:w="108" w:type="dxa"/>
            <w:bottom w:w="0" w:type="dxa"/>
            <w:right w:w="108" w:type="dxa"/>
          </w:tblCellMar>
        </w:tblPrEx>
        <w:trPr>
          <w:trHeight w:val="330" w:hRule="atLeast"/>
        </w:trPr>
        <w:tc>
          <w:tcPr>
            <w:tcW w:w="718" w:type="dxa"/>
            <w:tcBorders>
              <w:top w:val="nil"/>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24"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2835"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423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007"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560"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1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r>
      <w:tr>
        <w:tblPrEx>
          <w:tblCellMar>
            <w:top w:w="0" w:type="dxa"/>
            <w:left w:w="108" w:type="dxa"/>
            <w:bottom w:w="0" w:type="dxa"/>
            <w:right w:w="108" w:type="dxa"/>
          </w:tblCellMar>
        </w:tblPrEx>
        <w:trPr>
          <w:trHeight w:val="330" w:hRule="atLeast"/>
        </w:trPr>
        <w:tc>
          <w:tcPr>
            <w:tcW w:w="718" w:type="dxa"/>
            <w:tcBorders>
              <w:top w:val="nil"/>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24"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2835"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423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007"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560"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1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r>
      <w:tr>
        <w:tblPrEx>
          <w:tblCellMar>
            <w:top w:w="0" w:type="dxa"/>
            <w:left w:w="108" w:type="dxa"/>
            <w:bottom w:w="0" w:type="dxa"/>
            <w:right w:w="108" w:type="dxa"/>
          </w:tblCellMar>
        </w:tblPrEx>
        <w:trPr>
          <w:trHeight w:val="330" w:hRule="atLeast"/>
        </w:trPr>
        <w:tc>
          <w:tcPr>
            <w:tcW w:w="718" w:type="dxa"/>
            <w:tcBorders>
              <w:top w:val="nil"/>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24"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2835"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423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007"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560"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1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r>
      <w:tr>
        <w:tblPrEx>
          <w:tblCellMar>
            <w:top w:w="0" w:type="dxa"/>
            <w:left w:w="108" w:type="dxa"/>
            <w:bottom w:w="0" w:type="dxa"/>
            <w:right w:w="108" w:type="dxa"/>
          </w:tblCellMar>
        </w:tblPrEx>
        <w:trPr>
          <w:trHeight w:val="330" w:hRule="atLeast"/>
        </w:trPr>
        <w:tc>
          <w:tcPr>
            <w:tcW w:w="718" w:type="dxa"/>
            <w:tcBorders>
              <w:top w:val="nil"/>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24"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2835"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423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007"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560"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1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r>
      <w:tr>
        <w:tblPrEx>
          <w:tblCellMar>
            <w:top w:w="0" w:type="dxa"/>
            <w:left w:w="108" w:type="dxa"/>
            <w:bottom w:w="0" w:type="dxa"/>
            <w:right w:w="108" w:type="dxa"/>
          </w:tblCellMar>
        </w:tblPrEx>
        <w:trPr>
          <w:trHeight w:val="330" w:hRule="atLeast"/>
        </w:trPr>
        <w:tc>
          <w:tcPr>
            <w:tcW w:w="718" w:type="dxa"/>
            <w:tcBorders>
              <w:top w:val="nil"/>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24"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2835"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423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007"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560"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1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r>
      <w:tr>
        <w:tblPrEx>
          <w:tblCellMar>
            <w:top w:w="0" w:type="dxa"/>
            <w:left w:w="108" w:type="dxa"/>
            <w:bottom w:w="0" w:type="dxa"/>
            <w:right w:w="108" w:type="dxa"/>
          </w:tblCellMar>
        </w:tblPrEx>
        <w:trPr>
          <w:trHeight w:val="330" w:hRule="atLeast"/>
        </w:trPr>
        <w:tc>
          <w:tcPr>
            <w:tcW w:w="718" w:type="dxa"/>
            <w:tcBorders>
              <w:top w:val="nil"/>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24"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2835"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423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007"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560"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1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r>
      <w:tr>
        <w:tblPrEx>
          <w:tblCellMar>
            <w:top w:w="0" w:type="dxa"/>
            <w:left w:w="108" w:type="dxa"/>
            <w:bottom w:w="0" w:type="dxa"/>
            <w:right w:w="108" w:type="dxa"/>
          </w:tblCellMar>
        </w:tblPrEx>
        <w:trPr>
          <w:trHeight w:val="330" w:hRule="atLeast"/>
        </w:trPr>
        <w:tc>
          <w:tcPr>
            <w:tcW w:w="718" w:type="dxa"/>
            <w:tcBorders>
              <w:top w:val="nil"/>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24"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2835"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423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007"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560"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1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r>
      <w:tr>
        <w:tblPrEx>
          <w:tblCellMar>
            <w:top w:w="0" w:type="dxa"/>
            <w:left w:w="108" w:type="dxa"/>
            <w:bottom w:w="0" w:type="dxa"/>
            <w:right w:w="108" w:type="dxa"/>
          </w:tblCellMar>
        </w:tblPrEx>
        <w:trPr>
          <w:trHeight w:val="330" w:hRule="atLeast"/>
        </w:trPr>
        <w:tc>
          <w:tcPr>
            <w:tcW w:w="718" w:type="dxa"/>
            <w:tcBorders>
              <w:top w:val="nil"/>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24"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2835"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423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007"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560"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1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r>
      <w:tr>
        <w:tblPrEx>
          <w:tblCellMar>
            <w:top w:w="0" w:type="dxa"/>
            <w:left w:w="108" w:type="dxa"/>
            <w:bottom w:w="0" w:type="dxa"/>
            <w:right w:w="108" w:type="dxa"/>
          </w:tblCellMar>
        </w:tblPrEx>
        <w:trPr>
          <w:trHeight w:val="330" w:hRule="atLeast"/>
        </w:trPr>
        <w:tc>
          <w:tcPr>
            <w:tcW w:w="718" w:type="dxa"/>
            <w:tcBorders>
              <w:top w:val="nil"/>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24"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2835"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423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007"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560"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1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r>
      <w:tr>
        <w:tblPrEx>
          <w:tblCellMar>
            <w:top w:w="0" w:type="dxa"/>
            <w:left w:w="108" w:type="dxa"/>
            <w:bottom w:w="0" w:type="dxa"/>
            <w:right w:w="108" w:type="dxa"/>
          </w:tblCellMar>
        </w:tblPrEx>
        <w:trPr>
          <w:trHeight w:val="330" w:hRule="atLeast"/>
        </w:trPr>
        <w:tc>
          <w:tcPr>
            <w:tcW w:w="718" w:type="dxa"/>
            <w:tcBorders>
              <w:top w:val="nil"/>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24"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2835"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423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007"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560"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1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r>
      <w:tr>
        <w:tblPrEx>
          <w:tblCellMar>
            <w:top w:w="0" w:type="dxa"/>
            <w:left w:w="108" w:type="dxa"/>
            <w:bottom w:w="0" w:type="dxa"/>
            <w:right w:w="108" w:type="dxa"/>
          </w:tblCellMar>
        </w:tblPrEx>
        <w:trPr>
          <w:trHeight w:val="330" w:hRule="atLeast"/>
        </w:trPr>
        <w:tc>
          <w:tcPr>
            <w:tcW w:w="718" w:type="dxa"/>
            <w:tcBorders>
              <w:top w:val="nil"/>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24"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2835"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423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007"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560"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1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r>
      <w:tr>
        <w:tblPrEx>
          <w:tblCellMar>
            <w:top w:w="0" w:type="dxa"/>
            <w:left w:w="108" w:type="dxa"/>
            <w:bottom w:w="0" w:type="dxa"/>
            <w:right w:w="108" w:type="dxa"/>
          </w:tblCellMar>
        </w:tblPrEx>
        <w:trPr>
          <w:trHeight w:val="330" w:hRule="atLeast"/>
        </w:trPr>
        <w:tc>
          <w:tcPr>
            <w:tcW w:w="718" w:type="dxa"/>
            <w:tcBorders>
              <w:top w:val="nil"/>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24"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2835"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423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007"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560"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1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r>
      <w:tr>
        <w:tblPrEx>
          <w:tblCellMar>
            <w:top w:w="0" w:type="dxa"/>
            <w:left w:w="108" w:type="dxa"/>
            <w:bottom w:w="0" w:type="dxa"/>
            <w:right w:w="108" w:type="dxa"/>
          </w:tblCellMar>
        </w:tblPrEx>
        <w:trPr>
          <w:trHeight w:val="330" w:hRule="atLeast"/>
        </w:trPr>
        <w:tc>
          <w:tcPr>
            <w:tcW w:w="718" w:type="dxa"/>
            <w:tcBorders>
              <w:top w:val="nil"/>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24"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2835"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423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007"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560"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1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r>
      <w:tr>
        <w:tblPrEx>
          <w:tblCellMar>
            <w:top w:w="0" w:type="dxa"/>
            <w:left w:w="108" w:type="dxa"/>
            <w:bottom w:w="0" w:type="dxa"/>
            <w:right w:w="108" w:type="dxa"/>
          </w:tblCellMar>
        </w:tblPrEx>
        <w:trPr>
          <w:trHeight w:val="435" w:hRule="atLeast"/>
        </w:trPr>
        <w:tc>
          <w:tcPr>
            <w:tcW w:w="13198" w:type="dxa"/>
            <w:gridSpan w:val="11"/>
            <w:tcBorders>
              <w:top w:val="nil"/>
              <w:left w:val="nil"/>
              <w:bottom w:val="nil"/>
              <w:right w:val="nil"/>
            </w:tcBorders>
            <w:noWrap/>
            <w:vAlign w:val="bottom"/>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分包单位负责人：           项目</w:t>
            </w:r>
            <w:r>
              <w:rPr>
                <w:rFonts w:hint="eastAsia" w:ascii="宋体" w:hAnsi="宋体" w:cs="宋体"/>
                <w:color w:val="auto"/>
                <w:kern w:val="0"/>
                <w:sz w:val="20"/>
                <w:highlight w:val="none"/>
                <w:lang w:val="en-US" w:eastAsia="zh-CN"/>
              </w:rPr>
              <w:t>工长</w:t>
            </w:r>
            <w:r>
              <w:rPr>
                <w:rFonts w:hint="eastAsia" w:ascii="宋体" w:hAnsi="宋体" w:cs="宋体"/>
                <w:color w:val="auto"/>
                <w:kern w:val="0"/>
                <w:sz w:val="20"/>
                <w:highlight w:val="none"/>
              </w:rPr>
              <w:t>：            项目</w:t>
            </w:r>
            <w:r>
              <w:rPr>
                <w:rFonts w:hint="eastAsia" w:ascii="宋体" w:hAnsi="宋体" w:cs="宋体"/>
                <w:color w:val="auto"/>
                <w:kern w:val="0"/>
                <w:sz w:val="20"/>
                <w:highlight w:val="none"/>
                <w:lang w:val="en-US" w:eastAsia="zh-CN"/>
              </w:rPr>
              <w:t>技术员</w:t>
            </w:r>
            <w:r>
              <w:rPr>
                <w:rFonts w:hint="eastAsia" w:ascii="宋体" w:hAnsi="宋体" w:cs="宋体"/>
                <w:color w:val="auto"/>
                <w:kern w:val="0"/>
                <w:sz w:val="20"/>
                <w:highlight w:val="none"/>
              </w:rPr>
              <w:t>：             项目</w:t>
            </w:r>
            <w:r>
              <w:rPr>
                <w:rFonts w:hint="eastAsia" w:ascii="宋体" w:hAnsi="宋体" w:cs="宋体"/>
                <w:color w:val="auto"/>
                <w:kern w:val="0"/>
                <w:sz w:val="20"/>
                <w:highlight w:val="none"/>
                <w:lang w:val="en-US" w:eastAsia="zh-CN"/>
              </w:rPr>
              <w:t>预算员</w:t>
            </w:r>
            <w:r>
              <w:rPr>
                <w:rFonts w:hint="eastAsia" w:ascii="宋体" w:hAnsi="宋体" w:cs="宋体"/>
                <w:color w:val="auto"/>
                <w:kern w:val="0"/>
                <w:sz w:val="20"/>
                <w:highlight w:val="none"/>
              </w:rPr>
              <w:t>：              项目经理：</w:t>
            </w:r>
          </w:p>
        </w:tc>
      </w:tr>
      <w:tr>
        <w:tblPrEx>
          <w:tblCellMar>
            <w:top w:w="0" w:type="dxa"/>
            <w:left w:w="108" w:type="dxa"/>
            <w:bottom w:w="0" w:type="dxa"/>
            <w:right w:w="108" w:type="dxa"/>
          </w:tblCellMar>
        </w:tblPrEx>
        <w:trPr>
          <w:trHeight w:val="435" w:hRule="atLeast"/>
        </w:trPr>
        <w:tc>
          <w:tcPr>
            <w:tcW w:w="13198" w:type="dxa"/>
            <w:gridSpan w:val="11"/>
            <w:tcBorders>
              <w:top w:val="nil"/>
              <w:left w:val="nil"/>
              <w:bottom w:val="nil"/>
              <w:right w:val="nil"/>
            </w:tcBorders>
            <w:noWrap/>
            <w:vAlign w:val="bottom"/>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日   期：                  日    期：               日    期：               日    期：               日    期：</w:t>
            </w:r>
          </w:p>
        </w:tc>
      </w:tr>
      <w:tr>
        <w:tblPrEx>
          <w:tblCellMar>
            <w:top w:w="0" w:type="dxa"/>
            <w:left w:w="108" w:type="dxa"/>
            <w:bottom w:w="0" w:type="dxa"/>
            <w:right w:w="108" w:type="dxa"/>
          </w:tblCellMar>
        </w:tblPrEx>
        <w:trPr>
          <w:trHeight w:val="285" w:hRule="atLeast"/>
        </w:trPr>
        <w:tc>
          <w:tcPr>
            <w:tcW w:w="9214" w:type="dxa"/>
            <w:gridSpan w:val="6"/>
            <w:tcBorders>
              <w:top w:val="nil"/>
              <w:left w:val="nil"/>
              <w:bottom w:val="nil"/>
              <w:right w:val="nil"/>
            </w:tcBorders>
            <w:noWrap/>
            <w:vAlign w:val="bottom"/>
          </w:tcPr>
          <w:p>
            <w:pPr>
              <w:widowControl/>
              <w:jc w:val="left"/>
              <w:rPr>
                <w:rFonts w:hint="eastAsia" w:ascii="仿宋_GB2312" w:hAnsi="宋体" w:eastAsia="仿宋_GB2312" w:cs="宋体"/>
                <w:color w:val="auto"/>
                <w:kern w:val="0"/>
                <w:sz w:val="20"/>
                <w:highlight w:val="none"/>
              </w:rPr>
            </w:pPr>
            <w:r>
              <w:rPr>
                <w:rFonts w:hint="eastAsia" w:ascii="宋体" w:hAnsi="宋体" w:cs="宋体"/>
                <w:color w:val="auto"/>
                <w:kern w:val="0"/>
                <w:sz w:val="20"/>
                <w:highlight w:val="none"/>
              </w:rPr>
              <w:t>备注：本表格中签证工程项目名称与签证索赔金额预算书中分项工程对应。</w:t>
            </w:r>
          </w:p>
        </w:tc>
        <w:tc>
          <w:tcPr>
            <w:tcW w:w="718" w:type="dxa"/>
            <w:tcBorders>
              <w:top w:val="nil"/>
              <w:left w:val="nil"/>
              <w:bottom w:val="nil"/>
              <w:right w:val="nil"/>
            </w:tcBorders>
            <w:noWrap/>
            <w:vAlign w:val="bottom"/>
          </w:tcPr>
          <w:p>
            <w:pPr>
              <w:widowControl/>
              <w:jc w:val="left"/>
              <w:rPr>
                <w:rFonts w:hint="eastAsia" w:ascii="仿宋_GB2312" w:hAnsi="宋体" w:eastAsia="仿宋_GB2312" w:cs="宋体"/>
                <w:color w:val="auto"/>
                <w:kern w:val="0"/>
                <w:sz w:val="20"/>
                <w:highlight w:val="none"/>
              </w:rPr>
            </w:pPr>
          </w:p>
        </w:tc>
        <w:tc>
          <w:tcPr>
            <w:tcW w:w="1051" w:type="dxa"/>
            <w:gridSpan w:val="2"/>
            <w:tcBorders>
              <w:top w:val="nil"/>
              <w:left w:val="nil"/>
              <w:bottom w:val="nil"/>
              <w:right w:val="nil"/>
            </w:tcBorders>
            <w:noWrap/>
            <w:vAlign w:val="bottom"/>
          </w:tcPr>
          <w:p>
            <w:pPr>
              <w:widowControl/>
              <w:jc w:val="left"/>
              <w:rPr>
                <w:rFonts w:hint="eastAsia" w:ascii="仿宋_GB2312" w:hAnsi="宋体" w:eastAsia="仿宋_GB2312" w:cs="宋体"/>
                <w:color w:val="auto"/>
                <w:kern w:val="0"/>
                <w:sz w:val="20"/>
                <w:highlight w:val="none"/>
              </w:rPr>
            </w:pPr>
          </w:p>
        </w:tc>
        <w:tc>
          <w:tcPr>
            <w:tcW w:w="2215" w:type="dxa"/>
            <w:gridSpan w:val="2"/>
            <w:tcBorders>
              <w:top w:val="nil"/>
              <w:left w:val="nil"/>
              <w:bottom w:val="nil"/>
              <w:right w:val="nil"/>
            </w:tcBorders>
            <w:noWrap/>
            <w:vAlign w:val="bottom"/>
          </w:tcPr>
          <w:p>
            <w:pPr>
              <w:widowControl/>
              <w:jc w:val="left"/>
              <w:rPr>
                <w:rFonts w:hint="eastAsia" w:ascii="仿宋_GB2312" w:hAnsi="宋体" w:eastAsia="仿宋_GB2312" w:cs="宋体"/>
                <w:color w:val="auto"/>
                <w:kern w:val="0"/>
                <w:sz w:val="20"/>
                <w:highlight w:val="none"/>
              </w:rPr>
            </w:pPr>
          </w:p>
        </w:tc>
      </w:tr>
    </w:tbl>
    <w:p>
      <w:pPr>
        <w:pStyle w:val="11"/>
        <w:rPr>
          <w:color w:val="auto"/>
          <w:highlight w:val="none"/>
        </w:rPr>
        <w:sectPr>
          <w:footerReference r:id="rId16" w:type="default"/>
          <w:pgSz w:w="16838" w:h="11905" w:orient="landscape"/>
          <w:pgMar w:top="1440" w:right="1797" w:bottom="1440" w:left="1797" w:header="851" w:footer="992" w:gutter="567"/>
          <w:pgBorders>
            <w:top w:val="none" w:sz="0" w:space="0"/>
            <w:left w:val="none" w:sz="0" w:space="0"/>
            <w:bottom w:val="none" w:sz="0" w:space="0"/>
            <w:right w:val="none" w:sz="0" w:space="0"/>
          </w:pgBorders>
          <w:pgNumType w:fmt="decimal"/>
          <w:cols w:space="720" w:num="1"/>
          <w:rtlGutter w:val="0"/>
          <w:docGrid w:type="lines" w:linePitch="317" w:charSpace="0"/>
        </w:sectPr>
      </w:pPr>
    </w:p>
    <w:p>
      <w:pPr>
        <w:spacing w:before="0" w:after="0" w:line="360" w:lineRule="auto"/>
        <w:outlineLvl w:val="3"/>
        <w:rPr>
          <w:rFonts w:hint="eastAsia" w:ascii="宋体" w:hAnsi="宋体" w:cs="宋体"/>
          <w:b/>
          <w:bCs/>
          <w:color w:val="auto"/>
          <w:sz w:val="20"/>
          <w:highlight w:val="none"/>
        </w:rPr>
      </w:pPr>
      <w:bookmarkStart w:id="250" w:name="_Toc22708"/>
      <w:bookmarkStart w:id="251" w:name="_Toc12860"/>
      <w:bookmarkStart w:id="252" w:name="_Toc28394"/>
      <w:bookmarkStart w:id="253" w:name="_Toc31311"/>
      <w:bookmarkStart w:id="254" w:name="_Toc9632"/>
      <w:bookmarkStart w:id="255" w:name="_Toc21905"/>
      <w:bookmarkStart w:id="256" w:name="_Toc20136"/>
      <w:bookmarkStart w:id="257" w:name="_Toc21333"/>
      <w:bookmarkStart w:id="258" w:name="_Toc24542"/>
      <w:bookmarkStart w:id="259" w:name="_Toc15150"/>
      <w:r>
        <w:rPr>
          <w:rFonts w:hint="eastAsia" w:ascii="宋体" w:hAnsi="宋体" w:eastAsia="宋体" w:cs="宋体"/>
          <w:bCs w:val="0"/>
          <w:color w:val="auto"/>
          <w:sz w:val="24"/>
          <w:szCs w:val="24"/>
          <w:highlight w:val="none"/>
          <w:lang w:val="en-US" w:eastAsia="zh-CN"/>
        </w:rPr>
        <w:t>三、</w:t>
      </w:r>
      <w:r>
        <w:rPr>
          <w:rFonts w:hint="eastAsia" w:ascii="宋体" w:hAnsi="宋体" w:eastAsia="宋体" w:cs="宋体"/>
          <w:bCs w:val="0"/>
          <w:color w:val="auto"/>
          <w:sz w:val="24"/>
          <w:szCs w:val="24"/>
          <w:highlight w:val="none"/>
        </w:rPr>
        <w:t>合同甲供料管理要求附表</w:t>
      </w:r>
      <w:bookmarkEnd w:id="250"/>
      <w:bookmarkEnd w:id="251"/>
      <w:bookmarkEnd w:id="252"/>
      <w:bookmarkEnd w:id="253"/>
      <w:bookmarkEnd w:id="254"/>
      <w:bookmarkEnd w:id="255"/>
      <w:bookmarkEnd w:id="256"/>
      <w:bookmarkEnd w:id="257"/>
      <w:bookmarkEnd w:id="258"/>
      <w:bookmarkEnd w:id="259"/>
    </w:p>
    <w:p>
      <w:pPr>
        <w:widowControl/>
        <w:jc w:val="left"/>
        <w:rPr>
          <w:rFonts w:ascii="宋体" w:hAnsi="宋体" w:cs="宋体"/>
          <w:color w:val="auto"/>
          <w:kern w:val="0"/>
          <w:sz w:val="20"/>
          <w:highlight w:val="none"/>
        </w:rPr>
      </w:pPr>
    </w:p>
    <w:tbl>
      <w:tblPr>
        <w:tblStyle w:val="24"/>
        <w:tblW w:w="0" w:type="auto"/>
        <w:tblInd w:w="0" w:type="dxa"/>
        <w:tblLayout w:type="fixed"/>
        <w:tblCellMar>
          <w:top w:w="0" w:type="dxa"/>
          <w:left w:w="0" w:type="dxa"/>
          <w:bottom w:w="0" w:type="dxa"/>
          <w:right w:w="0" w:type="dxa"/>
        </w:tblCellMar>
      </w:tblPr>
      <w:tblGrid>
        <w:gridCol w:w="674"/>
        <w:gridCol w:w="645"/>
        <w:gridCol w:w="966"/>
        <w:gridCol w:w="739"/>
        <w:gridCol w:w="607"/>
        <w:gridCol w:w="873"/>
        <w:gridCol w:w="707"/>
        <w:gridCol w:w="739"/>
        <w:gridCol w:w="933"/>
        <w:gridCol w:w="744"/>
        <w:gridCol w:w="739"/>
        <w:gridCol w:w="935"/>
        <w:gridCol w:w="1323"/>
        <w:gridCol w:w="739"/>
        <w:gridCol w:w="935"/>
        <w:gridCol w:w="1323"/>
        <w:gridCol w:w="639"/>
      </w:tblGrid>
      <w:tr>
        <w:tblPrEx>
          <w:tblCellMar>
            <w:top w:w="0" w:type="dxa"/>
            <w:left w:w="0" w:type="dxa"/>
            <w:bottom w:w="0" w:type="dxa"/>
            <w:right w:w="0" w:type="dxa"/>
          </w:tblCellMar>
        </w:tblPrEx>
        <w:trPr>
          <w:trHeight w:val="420" w:hRule="atLeast"/>
        </w:trPr>
        <w:tc>
          <w:tcPr>
            <w:tcW w:w="14260" w:type="dxa"/>
            <w:gridSpan w:val="17"/>
            <w:tcBorders>
              <w:top w:val="nil"/>
              <w:left w:val="nil"/>
              <w:bottom w:val="nil"/>
              <w:right w:val="nil"/>
            </w:tcBorders>
            <w:noWrap/>
            <w:tcMar>
              <w:top w:w="15" w:type="dxa"/>
              <w:left w:w="15" w:type="dxa"/>
              <w:right w:w="15" w:type="dxa"/>
            </w:tcMar>
            <w:vAlign w:val="center"/>
          </w:tcPr>
          <w:p>
            <w:pPr>
              <w:widowControl/>
              <w:jc w:val="center"/>
              <w:textAlignment w:val="center"/>
              <w:rPr>
                <w:rFonts w:hint="eastAsia" w:ascii="宋体" w:hAnsi="宋体" w:cs="宋体"/>
                <w:b/>
                <w:color w:val="auto"/>
                <w:sz w:val="36"/>
                <w:szCs w:val="36"/>
                <w:highlight w:val="none"/>
              </w:rPr>
            </w:pPr>
            <w:r>
              <w:rPr>
                <w:rFonts w:hint="eastAsia" w:ascii="宋体" w:hAnsi="宋体" w:cs="宋体"/>
                <w:b/>
                <w:color w:val="auto"/>
                <w:kern w:val="0"/>
                <w:sz w:val="32"/>
                <w:szCs w:val="32"/>
                <w:highlight w:val="none"/>
              </w:rPr>
              <w:t>甲供材领用结算单</w:t>
            </w:r>
          </w:p>
        </w:tc>
      </w:tr>
      <w:tr>
        <w:tblPrEx>
          <w:tblCellMar>
            <w:top w:w="0" w:type="dxa"/>
            <w:left w:w="0" w:type="dxa"/>
            <w:bottom w:w="0" w:type="dxa"/>
            <w:right w:w="0" w:type="dxa"/>
          </w:tblCellMar>
        </w:tblPrEx>
        <w:trPr>
          <w:trHeight w:val="420" w:hRule="atLeast"/>
        </w:trPr>
        <w:tc>
          <w:tcPr>
            <w:tcW w:w="14260" w:type="dxa"/>
            <w:gridSpan w:val="17"/>
            <w:tcBorders>
              <w:top w:val="nil"/>
              <w:left w:val="nil"/>
              <w:bottom w:val="single" w:color="000000" w:sz="4" w:space="0"/>
              <w:right w:val="nil"/>
            </w:tcBorders>
            <w:noWrap/>
            <w:tcMar>
              <w:top w:w="15" w:type="dxa"/>
              <w:left w:w="15" w:type="dxa"/>
              <w:right w:w="15" w:type="dxa"/>
            </w:tcMar>
            <w:vAlign w:val="center"/>
          </w:tcPr>
          <w:p>
            <w:pPr>
              <w:widowControl/>
              <w:jc w:val="left"/>
              <w:textAlignment w:val="center"/>
              <w:rPr>
                <w:rFonts w:hint="eastAsia" w:ascii="宋体" w:hAnsi="宋体" w:cs="宋体"/>
                <w:color w:val="auto"/>
                <w:sz w:val="20"/>
                <w:highlight w:val="none"/>
              </w:rPr>
            </w:pPr>
            <w:r>
              <w:rPr>
                <w:rStyle w:val="47"/>
                <w:rFonts w:hint="default"/>
                <w:color w:val="auto"/>
                <w:sz w:val="20"/>
                <w:szCs w:val="20"/>
                <w:highlight w:val="none"/>
              </w:rPr>
              <w:t xml:space="preserve">编  号：                                            </w:t>
            </w:r>
            <w:r>
              <w:rPr>
                <w:rStyle w:val="48"/>
                <w:rFonts w:hint="default"/>
                <w:color w:val="auto"/>
                <w:sz w:val="20"/>
                <w:szCs w:val="20"/>
                <w:highlight w:val="none"/>
              </w:rPr>
              <w:t xml:space="preserve"> 填报日期：                        </w:t>
            </w:r>
            <w:r>
              <w:rPr>
                <w:rStyle w:val="48"/>
                <w:color w:val="auto"/>
                <w:sz w:val="20"/>
                <w:szCs w:val="20"/>
                <w:highlight w:val="none"/>
              </w:rPr>
              <w:t xml:space="preserve">    </w:t>
            </w:r>
            <w:r>
              <w:rPr>
                <w:rStyle w:val="48"/>
                <w:rFonts w:hint="default"/>
                <w:color w:val="auto"/>
                <w:sz w:val="20"/>
                <w:szCs w:val="20"/>
                <w:highlight w:val="none"/>
              </w:rPr>
              <w:t xml:space="preserve"> 过程结算</w:t>
            </w:r>
            <w:r>
              <w:rPr>
                <w:rStyle w:val="49"/>
                <w:color w:val="auto"/>
                <w:sz w:val="20"/>
                <w:szCs w:val="20"/>
                <w:highlight w:val="none"/>
              </w:rPr>
              <w:t></w:t>
            </w:r>
            <w:r>
              <w:rPr>
                <w:rStyle w:val="48"/>
                <w:rFonts w:hint="default"/>
                <w:color w:val="auto"/>
                <w:sz w:val="20"/>
                <w:szCs w:val="20"/>
                <w:highlight w:val="none"/>
              </w:rPr>
              <w:t xml:space="preserve"> </w:t>
            </w:r>
            <w:r>
              <w:rPr>
                <w:rStyle w:val="48"/>
                <w:color w:val="auto"/>
                <w:sz w:val="20"/>
                <w:szCs w:val="20"/>
                <w:highlight w:val="none"/>
              </w:rPr>
              <w:t xml:space="preserve">     </w:t>
            </w:r>
            <w:r>
              <w:rPr>
                <w:rStyle w:val="48"/>
                <w:rFonts w:hint="default"/>
                <w:color w:val="auto"/>
                <w:sz w:val="20"/>
                <w:szCs w:val="20"/>
                <w:highlight w:val="none"/>
              </w:rPr>
              <w:t xml:space="preserve">   最终结算</w:t>
            </w:r>
            <w:r>
              <w:rPr>
                <w:rStyle w:val="49"/>
                <w:color w:val="auto"/>
                <w:sz w:val="20"/>
                <w:szCs w:val="20"/>
                <w:highlight w:val="none"/>
              </w:rPr>
              <w:t></w:t>
            </w:r>
            <w:r>
              <w:rPr>
                <w:rStyle w:val="48"/>
                <w:rFonts w:hint="default"/>
                <w:color w:val="auto"/>
                <w:sz w:val="20"/>
                <w:szCs w:val="20"/>
                <w:highlight w:val="none"/>
              </w:rPr>
              <w:t xml:space="preserve">                                              </w:t>
            </w:r>
          </w:p>
        </w:tc>
      </w:tr>
      <w:tr>
        <w:tblPrEx>
          <w:tblCellMar>
            <w:top w:w="0" w:type="dxa"/>
            <w:left w:w="0" w:type="dxa"/>
            <w:bottom w:w="0" w:type="dxa"/>
            <w:right w:w="0" w:type="dxa"/>
          </w:tblCellMar>
        </w:tblPrEx>
        <w:trPr>
          <w:trHeight w:val="420" w:hRule="atLeast"/>
        </w:trPr>
        <w:tc>
          <w:tcPr>
            <w:tcW w:w="1319"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项目名称：</w:t>
            </w:r>
          </w:p>
        </w:tc>
        <w:tc>
          <w:tcPr>
            <w:tcW w:w="1705"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1480"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分包单位：</w:t>
            </w:r>
          </w:p>
        </w:tc>
        <w:tc>
          <w:tcPr>
            <w:tcW w:w="1446"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1677"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val="en-US" w:eastAsia="zh-CN"/>
              </w:rPr>
              <w:t>分包</w:t>
            </w:r>
            <w:r>
              <w:rPr>
                <w:rFonts w:hint="eastAsia" w:ascii="宋体" w:hAnsi="宋体" w:cs="宋体"/>
                <w:color w:val="auto"/>
                <w:kern w:val="0"/>
                <w:sz w:val="20"/>
                <w:highlight w:val="none"/>
              </w:rPr>
              <w:t>合同名称：</w:t>
            </w:r>
          </w:p>
        </w:tc>
        <w:tc>
          <w:tcPr>
            <w:tcW w:w="1674"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132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val="en-US" w:eastAsia="zh-CN"/>
              </w:rPr>
              <w:t>分包</w:t>
            </w:r>
            <w:r>
              <w:rPr>
                <w:rFonts w:hint="eastAsia" w:ascii="宋体" w:hAnsi="宋体" w:cs="宋体"/>
                <w:color w:val="auto"/>
                <w:kern w:val="0"/>
                <w:sz w:val="20"/>
                <w:highlight w:val="none"/>
              </w:rPr>
              <w:t>合同编号：</w:t>
            </w:r>
          </w:p>
        </w:tc>
        <w:tc>
          <w:tcPr>
            <w:tcW w:w="1674"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132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领用期间：</w:t>
            </w:r>
          </w:p>
        </w:tc>
        <w:tc>
          <w:tcPr>
            <w:tcW w:w="63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0"/>
                <w:highlight w:val="none"/>
              </w:rPr>
            </w:pPr>
          </w:p>
        </w:tc>
      </w:tr>
      <w:tr>
        <w:tblPrEx>
          <w:tblCellMar>
            <w:top w:w="0" w:type="dxa"/>
            <w:left w:w="0" w:type="dxa"/>
            <w:bottom w:w="0" w:type="dxa"/>
            <w:right w:w="0" w:type="dxa"/>
          </w:tblCellMar>
        </w:tblPrEx>
        <w:trPr>
          <w:trHeight w:val="600" w:hRule="atLeast"/>
        </w:trPr>
        <w:tc>
          <w:tcPr>
            <w:tcW w:w="67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序号</w:t>
            </w:r>
          </w:p>
        </w:tc>
        <w:tc>
          <w:tcPr>
            <w:tcW w:w="64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材料名称</w:t>
            </w:r>
          </w:p>
        </w:tc>
        <w:tc>
          <w:tcPr>
            <w:tcW w:w="96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规格型号</w:t>
            </w:r>
          </w:p>
        </w:tc>
        <w:tc>
          <w:tcPr>
            <w:tcW w:w="73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品牌</w:t>
            </w:r>
          </w:p>
        </w:tc>
        <w:tc>
          <w:tcPr>
            <w:tcW w:w="60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单位</w:t>
            </w:r>
          </w:p>
        </w:tc>
        <w:tc>
          <w:tcPr>
            <w:tcW w:w="15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甲供材单价</w:t>
            </w:r>
          </w:p>
        </w:tc>
        <w:tc>
          <w:tcPr>
            <w:tcW w:w="241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期初数据</w:t>
            </w:r>
          </w:p>
        </w:tc>
        <w:tc>
          <w:tcPr>
            <w:tcW w:w="2997"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本期数据</w:t>
            </w:r>
          </w:p>
        </w:tc>
        <w:tc>
          <w:tcPr>
            <w:tcW w:w="299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累计数据</w:t>
            </w:r>
          </w:p>
        </w:tc>
        <w:tc>
          <w:tcPr>
            <w:tcW w:w="639"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备注</w:t>
            </w:r>
          </w:p>
        </w:tc>
      </w:tr>
      <w:tr>
        <w:tblPrEx>
          <w:tblCellMar>
            <w:top w:w="0" w:type="dxa"/>
            <w:left w:w="0" w:type="dxa"/>
            <w:bottom w:w="0" w:type="dxa"/>
            <w:right w:w="0" w:type="dxa"/>
          </w:tblCellMar>
        </w:tblPrEx>
        <w:trPr>
          <w:trHeight w:val="420" w:hRule="atLeast"/>
        </w:trPr>
        <w:tc>
          <w:tcPr>
            <w:tcW w:w="67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6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87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不含税</w:t>
            </w:r>
          </w:p>
        </w:tc>
        <w:tc>
          <w:tcPr>
            <w:tcW w:w="70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含税</w:t>
            </w:r>
          </w:p>
        </w:tc>
        <w:tc>
          <w:tcPr>
            <w:tcW w:w="73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数量</w:t>
            </w:r>
          </w:p>
        </w:tc>
        <w:tc>
          <w:tcPr>
            <w:tcW w:w="16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合计金额（元）</w:t>
            </w:r>
          </w:p>
        </w:tc>
        <w:tc>
          <w:tcPr>
            <w:tcW w:w="739" w:type="dxa"/>
            <w:vMerge w:val="restar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数量</w:t>
            </w:r>
          </w:p>
        </w:tc>
        <w:tc>
          <w:tcPr>
            <w:tcW w:w="225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合计金额（元）</w:t>
            </w:r>
          </w:p>
        </w:tc>
        <w:tc>
          <w:tcPr>
            <w:tcW w:w="73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数量</w:t>
            </w:r>
          </w:p>
        </w:tc>
        <w:tc>
          <w:tcPr>
            <w:tcW w:w="225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合计金额（元）</w:t>
            </w:r>
          </w:p>
        </w:tc>
        <w:tc>
          <w:tcPr>
            <w:tcW w:w="63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0"/>
                <w:highlight w:val="none"/>
              </w:rPr>
            </w:pPr>
          </w:p>
        </w:tc>
      </w:tr>
      <w:tr>
        <w:tblPrEx>
          <w:tblCellMar>
            <w:top w:w="0" w:type="dxa"/>
            <w:left w:w="0" w:type="dxa"/>
            <w:bottom w:w="0" w:type="dxa"/>
            <w:right w:w="0" w:type="dxa"/>
          </w:tblCellMar>
        </w:tblPrEx>
        <w:trPr>
          <w:trHeight w:val="420" w:hRule="atLeast"/>
        </w:trPr>
        <w:tc>
          <w:tcPr>
            <w:tcW w:w="67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6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8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不含税</w:t>
            </w: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含税</w:t>
            </w:r>
          </w:p>
        </w:tc>
        <w:tc>
          <w:tcPr>
            <w:tcW w:w="739" w:type="dxa"/>
            <w:vMerge w:val="continue"/>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不含税</w:t>
            </w:r>
          </w:p>
        </w:tc>
        <w:tc>
          <w:tcPr>
            <w:tcW w:w="1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含税</w:t>
            </w:r>
          </w:p>
        </w:tc>
        <w:tc>
          <w:tcPr>
            <w:tcW w:w="7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不含税</w:t>
            </w:r>
          </w:p>
        </w:tc>
        <w:tc>
          <w:tcPr>
            <w:tcW w:w="1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含税</w:t>
            </w:r>
          </w:p>
        </w:tc>
        <w:tc>
          <w:tcPr>
            <w:tcW w:w="63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0"/>
                <w:highlight w:val="none"/>
              </w:rPr>
            </w:pPr>
          </w:p>
        </w:tc>
      </w:tr>
      <w:tr>
        <w:tblPrEx>
          <w:tblCellMar>
            <w:top w:w="0" w:type="dxa"/>
            <w:left w:w="0" w:type="dxa"/>
            <w:bottom w:w="0" w:type="dxa"/>
            <w:right w:w="0" w:type="dxa"/>
          </w:tblCellMar>
        </w:tblPrEx>
        <w:trPr>
          <w:trHeight w:val="420" w:hRule="atLeast"/>
        </w:trPr>
        <w:tc>
          <w:tcPr>
            <w:tcW w:w="67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0"/>
                <w:highlight w:val="none"/>
              </w:rPr>
            </w:pPr>
          </w:p>
        </w:tc>
        <w:tc>
          <w:tcPr>
            <w:tcW w:w="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0"/>
                <w:highlight w:val="none"/>
              </w:rPr>
            </w:pPr>
          </w:p>
        </w:tc>
        <w:tc>
          <w:tcPr>
            <w:tcW w:w="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3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1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1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r>
      <w:tr>
        <w:tblPrEx>
          <w:tblCellMar>
            <w:top w:w="0" w:type="dxa"/>
            <w:left w:w="0" w:type="dxa"/>
            <w:bottom w:w="0" w:type="dxa"/>
            <w:right w:w="0" w:type="dxa"/>
          </w:tblCellMar>
        </w:tblPrEx>
        <w:trPr>
          <w:trHeight w:val="420" w:hRule="atLeast"/>
        </w:trPr>
        <w:tc>
          <w:tcPr>
            <w:tcW w:w="67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0"/>
                <w:highlight w:val="none"/>
              </w:rPr>
            </w:pPr>
          </w:p>
        </w:tc>
        <w:tc>
          <w:tcPr>
            <w:tcW w:w="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0"/>
                <w:highlight w:val="none"/>
              </w:rPr>
            </w:pPr>
          </w:p>
        </w:tc>
        <w:tc>
          <w:tcPr>
            <w:tcW w:w="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3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1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1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r>
      <w:tr>
        <w:tblPrEx>
          <w:tblCellMar>
            <w:top w:w="0" w:type="dxa"/>
            <w:left w:w="0" w:type="dxa"/>
            <w:bottom w:w="0" w:type="dxa"/>
            <w:right w:w="0" w:type="dxa"/>
          </w:tblCellMar>
        </w:tblPrEx>
        <w:trPr>
          <w:trHeight w:val="420" w:hRule="atLeast"/>
        </w:trPr>
        <w:tc>
          <w:tcPr>
            <w:tcW w:w="67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0"/>
                <w:highlight w:val="none"/>
              </w:rPr>
            </w:pPr>
          </w:p>
        </w:tc>
        <w:tc>
          <w:tcPr>
            <w:tcW w:w="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0"/>
                <w:highlight w:val="none"/>
              </w:rPr>
            </w:pPr>
          </w:p>
        </w:tc>
        <w:tc>
          <w:tcPr>
            <w:tcW w:w="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3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1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1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r>
      <w:tr>
        <w:tblPrEx>
          <w:tblCellMar>
            <w:top w:w="0" w:type="dxa"/>
            <w:left w:w="0" w:type="dxa"/>
            <w:bottom w:w="0" w:type="dxa"/>
            <w:right w:w="0" w:type="dxa"/>
          </w:tblCellMar>
        </w:tblPrEx>
        <w:trPr>
          <w:trHeight w:val="420" w:hRule="atLeast"/>
        </w:trPr>
        <w:tc>
          <w:tcPr>
            <w:tcW w:w="228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小计</w:t>
            </w:r>
          </w:p>
        </w:tc>
        <w:tc>
          <w:tcPr>
            <w:tcW w:w="73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60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8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color w:val="auto"/>
                <w:sz w:val="20"/>
                <w:highlight w:val="none"/>
              </w:rPr>
            </w:pPr>
          </w:p>
        </w:tc>
        <w:tc>
          <w:tcPr>
            <w:tcW w:w="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1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color w:val="auto"/>
                <w:sz w:val="20"/>
                <w:highlight w:val="none"/>
              </w:rPr>
            </w:pPr>
          </w:p>
        </w:tc>
        <w:tc>
          <w:tcPr>
            <w:tcW w:w="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1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color w:val="auto"/>
                <w:sz w:val="20"/>
                <w:highlight w:val="none"/>
              </w:rPr>
            </w:pP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r>
      <w:tr>
        <w:tblPrEx>
          <w:tblCellMar>
            <w:top w:w="0" w:type="dxa"/>
            <w:left w:w="0" w:type="dxa"/>
            <w:bottom w:w="0" w:type="dxa"/>
            <w:right w:w="0" w:type="dxa"/>
          </w:tblCellMar>
        </w:tblPrEx>
        <w:trPr>
          <w:trHeight w:val="420" w:hRule="atLeast"/>
        </w:trPr>
        <w:tc>
          <w:tcPr>
            <w:tcW w:w="228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扣款</w:t>
            </w:r>
          </w:p>
        </w:tc>
        <w:tc>
          <w:tcPr>
            <w:tcW w:w="73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60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8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color w:val="auto"/>
                <w:sz w:val="20"/>
                <w:highlight w:val="none"/>
              </w:rPr>
            </w:pPr>
          </w:p>
        </w:tc>
        <w:tc>
          <w:tcPr>
            <w:tcW w:w="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1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color w:val="auto"/>
                <w:sz w:val="20"/>
                <w:highlight w:val="none"/>
              </w:rPr>
            </w:pPr>
          </w:p>
        </w:tc>
        <w:tc>
          <w:tcPr>
            <w:tcW w:w="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1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color w:val="auto"/>
                <w:sz w:val="20"/>
                <w:highlight w:val="none"/>
              </w:rPr>
            </w:pP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r>
      <w:tr>
        <w:tblPrEx>
          <w:tblCellMar>
            <w:top w:w="0" w:type="dxa"/>
            <w:left w:w="0" w:type="dxa"/>
            <w:bottom w:w="0" w:type="dxa"/>
            <w:right w:w="0" w:type="dxa"/>
          </w:tblCellMar>
        </w:tblPrEx>
        <w:trPr>
          <w:trHeight w:val="420" w:hRule="atLeast"/>
        </w:trPr>
        <w:tc>
          <w:tcPr>
            <w:tcW w:w="228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合计</w:t>
            </w:r>
          </w:p>
        </w:tc>
        <w:tc>
          <w:tcPr>
            <w:tcW w:w="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auto"/>
                <w:sz w:val="20"/>
                <w:highlight w:val="none"/>
              </w:rPr>
            </w:pP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auto"/>
                <w:sz w:val="20"/>
                <w:highlight w:val="none"/>
              </w:rPr>
            </w:pPr>
          </w:p>
        </w:tc>
        <w:tc>
          <w:tcPr>
            <w:tcW w:w="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auto"/>
                <w:sz w:val="20"/>
                <w:highlight w:val="none"/>
              </w:rPr>
            </w:pPr>
          </w:p>
        </w:tc>
        <w:tc>
          <w:tcPr>
            <w:tcW w:w="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auto"/>
                <w:sz w:val="20"/>
                <w:highlight w:val="none"/>
              </w:rPr>
            </w:pPr>
          </w:p>
        </w:tc>
        <w:tc>
          <w:tcPr>
            <w:tcW w:w="9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auto"/>
                <w:sz w:val="20"/>
                <w:highlight w:val="none"/>
              </w:rPr>
            </w:pPr>
          </w:p>
        </w:tc>
        <w:tc>
          <w:tcPr>
            <w:tcW w:w="7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auto"/>
                <w:sz w:val="20"/>
                <w:highlight w:val="none"/>
              </w:rPr>
            </w:pPr>
          </w:p>
        </w:tc>
        <w:tc>
          <w:tcPr>
            <w:tcW w:w="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auto"/>
                <w:sz w:val="20"/>
                <w:highlight w:val="none"/>
              </w:rPr>
            </w:pP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auto"/>
                <w:sz w:val="20"/>
                <w:highlight w:val="none"/>
              </w:rPr>
            </w:pP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auto"/>
                <w:sz w:val="20"/>
                <w:highlight w:val="none"/>
              </w:rPr>
            </w:pPr>
          </w:p>
        </w:tc>
        <w:tc>
          <w:tcPr>
            <w:tcW w:w="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auto"/>
                <w:sz w:val="20"/>
                <w:highlight w:val="none"/>
              </w:rPr>
            </w:pP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auto"/>
                <w:sz w:val="20"/>
                <w:highlight w:val="none"/>
              </w:rPr>
            </w:pP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auto"/>
                <w:sz w:val="20"/>
                <w:highlight w:val="none"/>
              </w:rPr>
            </w:pPr>
          </w:p>
        </w:tc>
        <w:tc>
          <w:tcPr>
            <w:tcW w:w="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auto"/>
                <w:sz w:val="20"/>
                <w:highlight w:val="none"/>
              </w:rPr>
            </w:pPr>
          </w:p>
        </w:tc>
      </w:tr>
      <w:tr>
        <w:tblPrEx>
          <w:tblCellMar>
            <w:top w:w="0" w:type="dxa"/>
            <w:left w:w="0" w:type="dxa"/>
            <w:bottom w:w="0" w:type="dxa"/>
            <w:right w:w="0" w:type="dxa"/>
          </w:tblCellMar>
        </w:tblPrEx>
        <w:trPr>
          <w:trHeight w:val="1120" w:hRule="atLeast"/>
        </w:trPr>
        <w:tc>
          <w:tcPr>
            <w:tcW w:w="3024" w:type="dxa"/>
            <w:gridSpan w:val="4"/>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0"/>
                <w:highlight w:val="none"/>
                <w:lang w:eastAsia="zh-CN"/>
              </w:rPr>
            </w:pPr>
            <w:r>
              <w:rPr>
                <w:rFonts w:hint="eastAsia" w:ascii="宋体" w:hAnsi="宋体" w:cs="宋体"/>
                <w:color w:val="auto"/>
                <w:kern w:val="0"/>
                <w:sz w:val="20"/>
                <w:highlight w:val="none"/>
              </w:rPr>
              <w:t>分包单位负责人（盖章）：</w:t>
            </w:r>
          </w:p>
          <w:p>
            <w:pPr>
              <w:pStyle w:val="23"/>
              <w:rPr>
                <w:rFonts w:hint="eastAsia"/>
                <w:color w:val="auto"/>
                <w:highlight w:val="none"/>
                <w:lang w:eastAsia="zh-CN"/>
              </w:rPr>
            </w:pPr>
          </w:p>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rPr>
              <w:t>日   期：</w:t>
            </w:r>
          </w:p>
        </w:tc>
        <w:tc>
          <w:tcPr>
            <w:tcW w:w="21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0"/>
                <w:highlight w:val="none"/>
                <w:lang w:eastAsia="zh-CN"/>
              </w:rPr>
            </w:pPr>
            <w:r>
              <w:rPr>
                <w:rFonts w:hint="eastAsia" w:ascii="宋体" w:hAnsi="宋体" w:cs="宋体"/>
                <w:color w:val="auto"/>
                <w:kern w:val="0"/>
                <w:sz w:val="20"/>
                <w:highlight w:val="none"/>
              </w:rPr>
              <w:t>项目材料发料人：</w:t>
            </w:r>
          </w:p>
          <w:p>
            <w:pPr>
              <w:pStyle w:val="23"/>
              <w:rPr>
                <w:rFonts w:hint="eastAsia"/>
                <w:color w:val="auto"/>
                <w:highlight w:val="none"/>
                <w:lang w:eastAsia="zh-CN"/>
              </w:rPr>
            </w:pPr>
          </w:p>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rPr>
              <w:t>日   期：</w:t>
            </w:r>
          </w:p>
        </w:tc>
        <w:tc>
          <w:tcPr>
            <w:tcW w:w="2416" w:type="dxa"/>
            <w:gridSpan w:val="3"/>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0"/>
                <w:highlight w:val="none"/>
                <w:lang w:eastAsia="zh-CN"/>
              </w:rPr>
            </w:pPr>
            <w:r>
              <w:rPr>
                <w:rFonts w:hint="eastAsia" w:ascii="宋体" w:hAnsi="宋体" w:cs="宋体"/>
                <w:color w:val="auto"/>
                <w:kern w:val="0"/>
                <w:sz w:val="20"/>
                <w:highlight w:val="none"/>
              </w:rPr>
              <w:t>项目</w:t>
            </w:r>
            <w:r>
              <w:rPr>
                <w:rFonts w:hint="eastAsia" w:ascii="宋体" w:hAnsi="宋体" w:cs="宋体"/>
                <w:color w:val="auto"/>
                <w:kern w:val="0"/>
                <w:sz w:val="20"/>
                <w:highlight w:val="none"/>
                <w:lang w:val="en-US" w:eastAsia="zh-CN"/>
              </w:rPr>
              <w:t>材料主管</w:t>
            </w:r>
            <w:r>
              <w:rPr>
                <w:rFonts w:hint="eastAsia" w:ascii="宋体" w:hAnsi="宋体" w:cs="宋体"/>
                <w:color w:val="auto"/>
                <w:kern w:val="0"/>
                <w:sz w:val="20"/>
                <w:highlight w:val="none"/>
              </w:rPr>
              <w:t>：</w:t>
            </w:r>
          </w:p>
          <w:p>
            <w:pPr>
              <w:pStyle w:val="23"/>
              <w:rPr>
                <w:rFonts w:hint="eastAsia"/>
                <w:color w:val="auto"/>
                <w:highlight w:val="none"/>
                <w:lang w:eastAsia="zh-CN"/>
              </w:rPr>
            </w:pPr>
          </w:p>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rPr>
              <w:t>日   期：</w:t>
            </w:r>
          </w:p>
        </w:tc>
        <w:tc>
          <w:tcPr>
            <w:tcW w:w="2997" w:type="dxa"/>
            <w:gridSpan w:val="3"/>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0"/>
                <w:highlight w:val="none"/>
                <w:lang w:eastAsia="zh-CN"/>
              </w:rPr>
            </w:pPr>
            <w:r>
              <w:rPr>
                <w:rFonts w:hint="eastAsia" w:ascii="宋体" w:hAnsi="宋体" w:cs="宋体"/>
                <w:color w:val="auto"/>
                <w:kern w:val="0"/>
                <w:sz w:val="20"/>
                <w:highlight w:val="none"/>
              </w:rPr>
              <w:t>项目</w:t>
            </w:r>
            <w:r>
              <w:rPr>
                <w:rFonts w:hint="eastAsia" w:ascii="宋体" w:hAnsi="宋体" w:cs="宋体"/>
                <w:color w:val="auto"/>
                <w:kern w:val="0"/>
                <w:sz w:val="20"/>
                <w:highlight w:val="none"/>
                <w:lang w:val="en-US" w:eastAsia="zh-CN"/>
              </w:rPr>
              <w:t>工长</w:t>
            </w:r>
            <w:r>
              <w:rPr>
                <w:rFonts w:hint="eastAsia" w:ascii="宋体" w:hAnsi="宋体" w:cs="宋体"/>
                <w:color w:val="auto"/>
                <w:kern w:val="0"/>
                <w:sz w:val="20"/>
                <w:highlight w:val="none"/>
              </w:rPr>
              <w:t>：</w:t>
            </w:r>
          </w:p>
          <w:p>
            <w:pPr>
              <w:pStyle w:val="23"/>
              <w:rPr>
                <w:rFonts w:hint="eastAsia"/>
                <w:color w:val="auto"/>
                <w:highlight w:val="none"/>
                <w:lang w:eastAsia="zh-CN"/>
              </w:rPr>
            </w:pPr>
          </w:p>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rPr>
              <w:t>日   期：</w:t>
            </w:r>
          </w:p>
        </w:tc>
        <w:tc>
          <w:tcPr>
            <w:tcW w:w="363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0"/>
                <w:highlight w:val="none"/>
                <w:lang w:eastAsia="zh-CN"/>
              </w:rPr>
            </w:pPr>
            <w:r>
              <w:rPr>
                <w:rFonts w:hint="eastAsia" w:ascii="宋体" w:hAnsi="宋体" w:cs="宋体"/>
                <w:color w:val="auto"/>
                <w:kern w:val="0"/>
                <w:sz w:val="20"/>
                <w:highlight w:val="none"/>
              </w:rPr>
              <w:t>项目经理：</w:t>
            </w:r>
          </w:p>
          <w:p>
            <w:pPr>
              <w:pStyle w:val="23"/>
              <w:rPr>
                <w:rFonts w:hint="eastAsia"/>
                <w:color w:val="auto"/>
                <w:highlight w:val="none"/>
                <w:lang w:eastAsia="zh-CN"/>
              </w:rPr>
            </w:pPr>
          </w:p>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rPr>
              <w:t>日   期：</w:t>
            </w:r>
          </w:p>
        </w:tc>
      </w:tr>
    </w:tbl>
    <w:p>
      <w:pPr>
        <w:pStyle w:val="2"/>
        <w:outlineLvl w:val="9"/>
        <w:rPr>
          <w:color w:val="auto"/>
          <w:highlight w:val="none"/>
        </w:rPr>
        <w:sectPr>
          <w:pgSz w:w="16838" w:h="11905" w:orient="landscape"/>
          <w:pgMar w:top="1440" w:right="1797" w:bottom="1440" w:left="1797" w:header="851" w:footer="992" w:gutter="567"/>
          <w:pgBorders>
            <w:top w:val="none" w:sz="0" w:space="0"/>
            <w:left w:val="none" w:sz="0" w:space="0"/>
            <w:bottom w:val="none" w:sz="0" w:space="0"/>
            <w:right w:val="none" w:sz="0" w:space="0"/>
          </w:pgBorders>
          <w:pgNumType w:fmt="decimal"/>
          <w:cols w:space="720" w:num="1"/>
          <w:rtlGutter w:val="0"/>
          <w:docGrid w:type="lines" w:linePitch="317" w:charSpace="0"/>
        </w:sectPr>
      </w:pPr>
    </w:p>
    <w:tbl>
      <w:tblPr>
        <w:tblStyle w:val="24"/>
        <w:tblW w:w="0" w:type="auto"/>
        <w:tblInd w:w="0" w:type="dxa"/>
        <w:tblLayout w:type="fixed"/>
        <w:tblCellMar>
          <w:top w:w="0" w:type="dxa"/>
          <w:left w:w="0" w:type="dxa"/>
          <w:bottom w:w="0" w:type="dxa"/>
          <w:right w:w="0" w:type="dxa"/>
        </w:tblCellMar>
      </w:tblPr>
      <w:tblGrid>
        <w:gridCol w:w="470"/>
        <w:gridCol w:w="910"/>
        <w:gridCol w:w="910"/>
        <w:gridCol w:w="925"/>
        <w:gridCol w:w="1020"/>
        <w:gridCol w:w="1027"/>
        <w:gridCol w:w="683"/>
        <w:gridCol w:w="990"/>
        <w:gridCol w:w="1175"/>
        <w:gridCol w:w="823"/>
        <w:gridCol w:w="823"/>
        <w:gridCol w:w="1066"/>
        <w:gridCol w:w="823"/>
        <w:gridCol w:w="823"/>
        <w:gridCol w:w="823"/>
        <w:gridCol w:w="697"/>
      </w:tblGrid>
      <w:tr>
        <w:tblPrEx>
          <w:tblCellMar>
            <w:top w:w="0" w:type="dxa"/>
            <w:left w:w="0" w:type="dxa"/>
            <w:bottom w:w="0" w:type="dxa"/>
            <w:right w:w="0" w:type="dxa"/>
          </w:tblCellMar>
        </w:tblPrEx>
        <w:trPr>
          <w:trHeight w:val="600" w:hRule="atLeast"/>
        </w:trPr>
        <w:tc>
          <w:tcPr>
            <w:tcW w:w="13988" w:type="dxa"/>
            <w:gridSpan w:val="16"/>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cs="宋体"/>
                <w:b/>
                <w:color w:val="auto"/>
                <w:sz w:val="40"/>
                <w:szCs w:val="40"/>
                <w:highlight w:val="none"/>
              </w:rPr>
            </w:pPr>
            <w:r>
              <w:rPr>
                <w:rFonts w:hint="eastAsia" w:ascii="宋体" w:hAnsi="宋体" w:cs="宋体"/>
                <w:b/>
                <w:color w:val="auto"/>
                <w:kern w:val="0"/>
                <w:sz w:val="32"/>
                <w:szCs w:val="32"/>
                <w:highlight w:val="none"/>
              </w:rPr>
              <w:t>甲供材领料单</w:t>
            </w:r>
          </w:p>
        </w:tc>
      </w:tr>
      <w:tr>
        <w:tblPrEx>
          <w:tblCellMar>
            <w:top w:w="0" w:type="dxa"/>
            <w:left w:w="0" w:type="dxa"/>
            <w:bottom w:w="0" w:type="dxa"/>
            <w:right w:w="0" w:type="dxa"/>
          </w:tblCellMar>
        </w:tblPrEx>
        <w:trPr>
          <w:trHeight w:val="420" w:hRule="atLeast"/>
        </w:trPr>
        <w:tc>
          <w:tcPr>
            <w:tcW w:w="2290" w:type="dxa"/>
            <w:gridSpan w:val="3"/>
            <w:tcBorders>
              <w:top w:val="nil"/>
              <w:left w:val="nil"/>
              <w:bottom w:val="nil"/>
              <w:right w:val="nil"/>
            </w:tcBorders>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领料单编号：</w:t>
            </w:r>
          </w:p>
        </w:tc>
        <w:tc>
          <w:tcPr>
            <w:tcW w:w="925" w:type="dxa"/>
            <w:tcBorders>
              <w:top w:val="nil"/>
              <w:left w:val="nil"/>
              <w:bottom w:val="nil"/>
              <w:right w:val="nil"/>
            </w:tcBorders>
            <w:tcMar>
              <w:top w:w="15" w:type="dxa"/>
              <w:left w:w="15" w:type="dxa"/>
              <w:right w:w="15" w:type="dxa"/>
            </w:tcMar>
            <w:vAlign w:val="center"/>
          </w:tcPr>
          <w:p>
            <w:pPr>
              <w:jc w:val="center"/>
              <w:rPr>
                <w:rFonts w:hint="eastAsia" w:ascii="宋体" w:hAnsi="宋体" w:cs="宋体"/>
                <w:b/>
                <w:color w:val="auto"/>
                <w:sz w:val="40"/>
                <w:szCs w:val="40"/>
                <w:highlight w:val="none"/>
              </w:rPr>
            </w:pPr>
          </w:p>
        </w:tc>
        <w:tc>
          <w:tcPr>
            <w:tcW w:w="1020" w:type="dxa"/>
            <w:tcBorders>
              <w:top w:val="nil"/>
              <w:left w:val="nil"/>
              <w:bottom w:val="nil"/>
              <w:right w:val="nil"/>
            </w:tcBorders>
            <w:tcMar>
              <w:top w:w="15" w:type="dxa"/>
              <w:left w:w="15" w:type="dxa"/>
              <w:right w:w="15" w:type="dxa"/>
            </w:tcMar>
            <w:vAlign w:val="center"/>
          </w:tcPr>
          <w:p>
            <w:pPr>
              <w:jc w:val="center"/>
              <w:rPr>
                <w:rFonts w:hint="eastAsia" w:ascii="宋体" w:hAnsi="宋体" w:cs="宋体"/>
                <w:b/>
                <w:color w:val="auto"/>
                <w:sz w:val="40"/>
                <w:szCs w:val="40"/>
                <w:highlight w:val="none"/>
              </w:rPr>
            </w:pPr>
          </w:p>
        </w:tc>
        <w:tc>
          <w:tcPr>
            <w:tcW w:w="1027" w:type="dxa"/>
            <w:tcBorders>
              <w:top w:val="nil"/>
              <w:left w:val="nil"/>
              <w:bottom w:val="nil"/>
              <w:right w:val="nil"/>
            </w:tcBorders>
            <w:tcMar>
              <w:top w:w="15" w:type="dxa"/>
              <w:left w:w="15" w:type="dxa"/>
              <w:right w:w="15" w:type="dxa"/>
            </w:tcMar>
            <w:vAlign w:val="center"/>
          </w:tcPr>
          <w:p>
            <w:pPr>
              <w:jc w:val="center"/>
              <w:rPr>
                <w:rFonts w:hint="eastAsia" w:ascii="宋体" w:hAnsi="宋体" w:cs="宋体"/>
                <w:b/>
                <w:color w:val="auto"/>
                <w:sz w:val="40"/>
                <w:szCs w:val="40"/>
                <w:highlight w:val="none"/>
              </w:rPr>
            </w:pPr>
          </w:p>
        </w:tc>
        <w:tc>
          <w:tcPr>
            <w:tcW w:w="683" w:type="dxa"/>
            <w:tcBorders>
              <w:top w:val="nil"/>
              <w:left w:val="nil"/>
              <w:bottom w:val="nil"/>
              <w:right w:val="nil"/>
            </w:tcBorders>
            <w:tcMar>
              <w:top w:w="15" w:type="dxa"/>
              <w:left w:w="15" w:type="dxa"/>
              <w:right w:w="15" w:type="dxa"/>
            </w:tcMar>
            <w:vAlign w:val="center"/>
          </w:tcPr>
          <w:p>
            <w:pPr>
              <w:jc w:val="center"/>
              <w:rPr>
                <w:rFonts w:hint="eastAsia" w:ascii="宋体" w:hAnsi="宋体" w:cs="宋体"/>
                <w:b/>
                <w:color w:val="auto"/>
                <w:sz w:val="40"/>
                <w:szCs w:val="40"/>
                <w:highlight w:val="none"/>
              </w:rPr>
            </w:pPr>
          </w:p>
        </w:tc>
        <w:tc>
          <w:tcPr>
            <w:tcW w:w="990" w:type="dxa"/>
            <w:tcBorders>
              <w:top w:val="nil"/>
              <w:left w:val="nil"/>
              <w:bottom w:val="nil"/>
              <w:right w:val="nil"/>
            </w:tcBorders>
            <w:tcMar>
              <w:top w:w="15" w:type="dxa"/>
              <w:left w:w="15" w:type="dxa"/>
              <w:right w:w="15" w:type="dxa"/>
            </w:tcMar>
            <w:vAlign w:val="center"/>
          </w:tcPr>
          <w:p>
            <w:pPr>
              <w:jc w:val="center"/>
              <w:rPr>
                <w:rFonts w:hint="eastAsia" w:ascii="宋体" w:hAnsi="宋体" w:cs="宋体"/>
                <w:b/>
                <w:color w:val="auto"/>
                <w:sz w:val="40"/>
                <w:szCs w:val="40"/>
                <w:highlight w:val="none"/>
              </w:rPr>
            </w:pPr>
          </w:p>
        </w:tc>
        <w:tc>
          <w:tcPr>
            <w:tcW w:w="1175" w:type="dxa"/>
            <w:tcBorders>
              <w:top w:val="nil"/>
              <w:left w:val="nil"/>
              <w:bottom w:val="nil"/>
              <w:right w:val="nil"/>
            </w:tcBorders>
            <w:tcMar>
              <w:top w:w="15" w:type="dxa"/>
              <w:left w:w="15" w:type="dxa"/>
              <w:right w:w="15" w:type="dxa"/>
            </w:tcMar>
            <w:vAlign w:val="center"/>
          </w:tcPr>
          <w:p>
            <w:pPr>
              <w:jc w:val="center"/>
              <w:rPr>
                <w:rFonts w:hint="eastAsia" w:ascii="宋体" w:hAnsi="宋体" w:cs="宋体"/>
                <w:b/>
                <w:color w:val="auto"/>
                <w:sz w:val="40"/>
                <w:szCs w:val="40"/>
                <w:highlight w:val="none"/>
              </w:rPr>
            </w:pPr>
          </w:p>
        </w:tc>
        <w:tc>
          <w:tcPr>
            <w:tcW w:w="823" w:type="dxa"/>
            <w:tcBorders>
              <w:top w:val="nil"/>
              <w:left w:val="nil"/>
              <w:bottom w:val="nil"/>
              <w:right w:val="nil"/>
            </w:tcBorders>
            <w:tcMar>
              <w:top w:w="15" w:type="dxa"/>
              <w:left w:w="15" w:type="dxa"/>
              <w:right w:w="15" w:type="dxa"/>
            </w:tcMar>
            <w:vAlign w:val="center"/>
          </w:tcPr>
          <w:p>
            <w:pPr>
              <w:jc w:val="center"/>
              <w:rPr>
                <w:rFonts w:hint="eastAsia" w:ascii="宋体" w:hAnsi="宋体" w:cs="宋体"/>
                <w:b/>
                <w:color w:val="auto"/>
                <w:sz w:val="40"/>
                <w:szCs w:val="40"/>
                <w:highlight w:val="none"/>
              </w:rPr>
            </w:pPr>
          </w:p>
        </w:tc>
        <w:tc>
          <w:tcPr>
            <w:tcW w:w="823" w:type="dxa"/>
            <w:tcBorders>
              <w:top w:val="nil"/>
              <w:left w:val="nil"/>
              <w:bottom w:val="nil"/>
              <w:right w:val="nil"/>
            </w:tcBorders>
            <w:tcMar>
              <w:top w:w="15" w:type="dxa"/>
              <w:left w:w="15" w:type="dxa"/>
              <w:right w:w="15" w:type="dxa"/>
            </w:tcMar>
            <w:vAlign w:val="center"/>
          </w:tcPr>
          <w:p>
            <w:pPr>
              <w:jc w:val="center"/>
              <w:rPr>
                <w:rFonts w:hint="eastAsia" w:ascii="宋体" w:hAnsi="宋体" w:cs="宋体"/>
                <w:b/>
                <w:color w:val="auto"/>
                <w:sz w:val="40"/>
                <w:szCs w:val="40"/>
                <w:highlight w:val="none"/>
              </w:rPr>
            </w:pPr>
          </w:p>
        </w:tc>
        <w:tc>
          <w:tcPr>
            <w:tcW w:w="1066" w:type="dxa"/>
            <w:tcBorders>
              <w:top w:val="nil"/>
              <w:left w:val="nil"/>
              <w:bottom w:val="nil"/>
              <w:right w:val="nil"/>
            </w:tcBorders>
            <w:tcMar>
              <w:top w:w="15" w:type="dxa"/>
              <w:left w:w="15" w:type="dxa"/>
              <w:right w:w="15" w:type="dxa"/>
            </w:tcMar>
            <w:vAlign w:val="center"/>
          </w:tcPr>
          <w:p>
            <w:pPr>
              <w:jc w:val="center"/>
              <w:rPr>
                <w:rFonts w:hint="eastAsia" w:ascii="宋体" w:hAnsi="宋体" w:cs="宋体"/>
                <w:b/>
                <w:color w:val="auto"/>
                <w:sz w:val="40"/>
                <w:szCs w:val="40"/>
                <w:highlight w:val="none"/>
              </w:rPr>
            </w:pPr>
          </w:p>
        </w:tc>
        <w:tc>
          <w:tcPr>
            <w:tcW w:w="1646" w:type="dxa"/>
            <w:gridSpan w:val="2"/>
            <w:tcBorders>
              <w:top w:val="nil"/>
              <w:left w:val="nil"/>
              <w:bottom w:val="nil"/>
              <w:right w:val="nil"/>
            </w:tcBorders>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领料日期：</w:t>
            </w:r>
          </w:p>
        </w:tc>
        <w:tc>
          <w:tcPr>
            <w:tcW w:w="823" w:type="dxa"/>
            <w:tcBorders>
              <w:top w:val="nil"/>
              <w:left w:val="nil"/>
              <w:bottom w:val="nil"/>
              <w:right w:val="nil"/>
            </w:tcBorders>
            <w:tcMar>
              <w:top w:w="15" w:type="dxa"/>
              <w:left w:w="15" w:type="dxa"/>
              <w:right w:w="15" w:type="dxa"/>
            </w:tcMar>
            <w:vAlign w:val="center"/>
          </w:tcPr>
          <w:p>
            <w:pPr>
              <w:jc w:val="center"/>
              <w:rPr>
                <w:rFonts w:hint="eastAsia" w:ascii="宋体" w:hAnsi="宋体" w:cs="宋体"/>
                <w:b/>
                <w:color w:val="auto"/>
                <w:sz w:val="40"/>
                <w:szCs w:val="40"/>
                <w:highlight w:val="none"/>
              </w:rPr>
            </w:pPr>
          </w:p>
        </w:tc>
        <w:tc>
          <w:tcPr>
            <w:tcW w:w="697" w:type="dxa"/>
            <w:tcBorders>
              <w:top w:val="nil"/>
              <w:left w:val="nil"/>
              <w:bottom w:val="nil"/>
              <w:right w:val="nil"/>
            </w:tcBorders>
            <w:tcMar>
              <w:top w:w="15" w:type="dxa"/>
              <w:left w:w="15" w:type="dxa"/>
              <w:right w:w="15" w:type="dxa"/>
            </w:tcMar>
            <w:vAlign w:val="center"/>
          </w:tcPr>
          <w:p>
            <w:pPr>
              <w:jc w:val="center"/>
              <w:rPr>
                <w:rFonts w:hint="eastAsia" w:ascii="宋体" w:hAnsi="宋体" w:cs="宋体"/>
                <w:b/>
                <w:color w:val="auto"/>
                <w:sz w:val="40"/>
                <w:szCs w:val="40"/>
                <w:highlight w:val="none"/>
              </w:rPr>
            </w:pPr>
          </w:p>
        </w:tc>
      </w:tr>
      <w:tr>
        <w:tblPrEx>
          <w:tblCellMar>
            <w:top w:w="0" w:type="dxa"/>
            <w:left w:w="0" w:type="dxa"/>
            <w:bottom w:w="0" w:type="dxa"/>
            <w:right w:w="0" w:type="dxa"/>
          </w:tblCellMar>
        </w:tblPrEx>
        <w:trPr>
          <w:trHeight w:val="540" w:hRule="atLeast"/>
        </w:trPr>
        <w:tc>
          <w:tcPr>
            <w:tcW w:w="13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项目名称：</w:t>
            </w:r>
          </w:p>
        </w:tc>
        <w:tc>
          <w:tcPr>
            <w:tcW w:w="1835"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2047"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分包单位：</w:t>
            </w:r>
          </w:p>
        </w:tc>
        <w:tc>
          <w:tcPr>
            <w:tcW w:w="167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998"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val="en-US" w:eastAsia="zh-CN"/>
              </w:rPr>
              <w:t>分包</w:t>
            </w:r>
            <w:r>
              <w:rPr>
                <w:rFonts w:hint="eastAsia" w:ascii="宋体" w:hAnsi="宋体" w:cs="宋体"/>
                <w:color w:val="auto"/>
                <w:kern w:val="0"/>
                <w:sz w:val="22"/>
                <w:szCs w:val="22"/>
                <w:highlight w:val="none"/>
              </w:rPr>
              <w:t>合同名称：</w:t>
            </w:r>
          </w:p>
        </w:tc>
        <w:tc>
          <w:tcPr>
            <w:tcW w:w="1889"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64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val="en-US" w:eastAsia="zh-CN"/>
              </w:rPr>
              <w:t>分包</w:t>
            </w:r>
            <w:r>
              <w:rPr>
                <w:rFonts w:hint="eastAsia" w:ascii="宋体" w:hAnsi="宋体" w:cs="宋体"/>
                <w:color w:val="auto"/>
                <w:kern w:val="0"/>
                <w:sz w:val="22"/>
                <w:szCs w:val="22"/>
                <w:highlight w:val="none"/>
              </w:rPr>
              <w:t>合同编号：</w:t>
            </w:r>
          </w:p>
        </w:tc>
        <w:tc>
          <w:tcPr>
            <w:tcW w:w="15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465" w:hRule="atLeast"/>
        </w:trPr>
        <w:tc>
          <w:tcPr>
            <w:tcW w:w="4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序号</w:t>
            </w:r>
          </w:p>
        </w:tc>
        <w:tc>
          <w:tcPr>
            <w:tcW w:w="91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使用部位</w:t>
            </w:r>
          </w:p>
        </w:tc>
        <w:tc>
          <w:tcPr>
            <w:tcW w:w="91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材料名称</w:t>
            </w:r>
          </w:p>
        </w:tc>
        <w:tc>
          <w:tcPr>
            <w:tcW w:w="9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规格型号</w:t>
            </w:r>
          </w:p>
        </w:tc>
        <w:tc>
          <w:tcPr>
            <w:tcW w:w="102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厂家/品牌</w:t>
            </w:r>
          </w:p>
        </w:tc>
        <w:tc>
          <w:tcPr>
            <w:tcW w:w="102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质量要求/技术标准</w:t>
            </w:r>
          </w:p>
        </w:tc>
        <w:tc>
          <w:tcPr>
            <w:tcW w:w="68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单位</w:t>
            </w:r>
          </w:p>
        </w:tc>
        <w:tc>
          <w:tcPr>
            <w:tcW w:w="9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限额领料数量</w:t>
            </w:r>
          </w:p>
        </w:tc>
        <w:tc>
          <w:tcPr>
            <w:tcW w:w="117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实发数量</w:t>
            </w:r>
          </w:p>
        </w:tc>
        <w:tc>
          <w:tcPr>
            <w:tcW w:w="271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材料单价</w:t>
            </w:r>
          </w:p>
        </w:tc>
        <w:tc>
          <w:tcPr>
            <w:tcW w:w="2469" w:type="dxa"/>
            <w:gridSpan w:val="3"/>
            <w:tcBorders>
              <w:top w:val="single" w:color="000000" w:sz="4" w:space="0"/>
              <w:left w:val="nil"/>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材料合价</w:t>
            </w:r>
          </w:p>
        </w:tc>
        <w:tc>
          <w:tcPr>
            <w:tcW w:w="69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备注</w:t>
            </w:r>
          </w:p>
        </w:tc>
      </w:tr>
      <w:tr>
        <w:tblPrEx>
          <w:tblCellMar>
            <w:top w:w="0" w:type="dxa"/>
            <w:left w:w="0" w:type="dxa"/>
            <w:bottom w:w="0" w:type="dxa"/>
            <w:right w:w="0" w:type="dxa"/>
          </w:tblCellMar>
        </w:tblPrEx>
        <w:trPr>
          <w:trHeight w:val="465" w:hRule="atLeast"/>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9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9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9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68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9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17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不含税</w:t>
            </w:r>
          </w:p>
        </w:tc>
        <w:tc>
          <w:tcPr>
            <w:tcW w:w="82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税额</w:t>
            </w:r>
          </w:p>
        </w:tc>
        <w:tc>
          <w:tcPr>
            <w:tcW w:w="1066"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价税合计</w:t>
            </w:r>
          </w:p>
        </w:tc>
        <w:tc>
          <w:tcPr>
            <w:tcW w:w="82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不含税</w:t>
            </w:r>
          </w:p>
        </w:tc>
        <w:tc>
          <w:tcPr>
            <w:tcW w:w="82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税额</w:t>
            </w:r>
          </w:p>
        </w:tc>
        <w:tc>
          <w:tcPr>
            <w:tcW w:w="823" w:type="dxa"/>
            <w:tcBorders>
              <w:top w:val="single" w:color="000000" w:sz="4" w:space="0"/>
              <w:left w:val="single" w:color="000000" w:sz="4" w:space="0"/>
              <w:bottom w:val="nil"/>
              <w:right w:val="nil"/>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价税合计</w:t>
            </w:r>
          </w:p>
        </w:tc>
        <w:tc>
          <w:tcPr>
            <w:tcW w:w="69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525"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525"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525"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525"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525"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525" w:hRule="atLeast"/>
        </w:trPr>
        <w:tc>
          <w:tcPr>
            <w:tcW w:w="2290" w:type="dxa"/>
            <w:gridSpan w:val="3"/>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合计</w:t>
            </w:r>
          </w:p>
        </w:tc>
        <w:tc>
          <w:tcPr>
            <w:tcW w:w="92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02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027"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683"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9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17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066"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697"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1200" w:hRule="atLeast"/>
        </w:trPr>
        <w:tc>
          <w:tcPr>
            <w:tcW w:w="229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 xml:space="preserve">分包单位领料人：                              </w:t>
            </w:r>
          </w:p>
          <w:p>
            <w:pPr>
              <w:pStyle w:val="23"/>
              <w:rPr>
                <w:rFonts w:hint="eastAsia"/>
                <w:color w:val="auto"/>
                <w:highlight w:val="none"/>
                <w:lang w:eastAsia="zh-CN"/>
              </w:rPr>
            </w:pPr>
          </w:p>
          <w:p>
            <w:pPr>
              <w:pStyle w:val="23"/>
              <w:rPr>
                <w:rFonts w:hint="eastAsia"/>
                <w:color w:val="auto"/>
                <w:highlight w:val="none"/>
                <w:lang w:eastAsia="zh-CN"/>
              </w:rPr>
            </w:pPr>
          </w:p>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日   期：</w:t>
            </w:r>
          </w:p>
        </w:tc>
        <w:tc>
          <w:tcPr>
            <w:tcW w:w="2972"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项目发料人：</w:t>
            </w:r>
          </w:p>
          <w:p>
            <w:pPr>
              <w:pStyle w:val="23"/>
              <w:rPr>
                <w:rFonts w:hint="eastAsia"/>
                <w:color w:val="auto"/>
                <w:highlight w:val="none"/>
                <w:lang w:eastAsia="zh-CN"/>
              </w:rPr>
            </w:pPr>
          </w:p>
          <w:p>
            <w:pPr>
              <w:pStyle w:val="23"/>
              <w:rPr>
                <w:rFonts w:hint="eastAsia"/>
                <w:color w:val="auto"/>
                <w:highlight w:val="none"/>
                <w:lang w:eastAsia="zh-CN"/>
              </w:rPr>
            </w:pPr>
          </w:p>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日   期：</w:t>
            </w:r>
          </w:p>
        </w:tc>
        <w:tc>
          <w:tcPr>
            <w:tcW w:w="284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left="220" w:hanging="220" w:hangingChars="100"/>
              <w:textAlignment w:val="center"/>
              <w:rPr>
                <w:rFonts w:hint="eastAsia"/>
                <w:color w:val="auto"/>
                <w:highlight w:val="none"/>
              </w:rPr>
            </w:pPr>
            <w:r>
              <w:rPr>
                <w:rFonts w:hint="eastAsia" w:ascii="宋体" w:hAnsi="宋体" w:cs="宋体"/>
                <w:color w:val="auto"/>
                <w:kern w:val="0"/>
                <w:sz w:val="22"/>
                <w:szCs w:val="22"/>
                <w:highlight w:val="none"/>
              </w:rPr>
              <w:t>项目物资部负责人：</w:t>
            </w:r>
          </w:p>
          <w:p>
            <w:pPr>
              <w:widowControl/>
              <w:ind w:left="220" w:hanging="220" w:hangingChars="100"/>
              <w:textAlignment w:val="center"/>
              <w:rPr>
                <w:rFonts w:hint="eastAsia" w:ascii="宋体" w:hAnsi="宋体" w:cs="宋体"/>
                <w:color w:val="auto"/>
                <w:kern w:val="0"/>
                <w:sz w:val="22"/>
                <w:szCs w:val="22"/>
                <w:highlight w:val="none"/>
              </w:rPr>
            </w:pPr>
          </w:p>
          <w:p>
            <w:pPr>
              <w:widowControl/>
              <w:ind w:left="220" w:hanging="220" w:hangingChars="100"/>
              <w:textAlignment w:val="center"/>
              <w:rPr>
                <w:rFonts w:hint="eastAsia" w:ascii="宋体" w:hAnsi="宋体" w:cs="宋体"/>
                <w:color w:val="auto"/>
                <w:kern w:val="0"/>
                <w:sz w:val="22"/>
                <w:szCs w:val="22"/>
                <w:highlight w:val="none"/>
              </w:rPr>
            </w:pPr>
          </w:p>
          <w:p>
            <w:pPr>
              <w:widowControl/>
              <w:ind w:left="220" w:hanging="220" w:hangingChars="100"/>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日   期：</w:t>
            </w:r>
          </w:p>
        </w:tc>
        <w:tc>
          <w:tcPr>
            <w:tcW w:w="271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项目</w:t>
            </w:r>
            <w:r>
              <w:rPr>
                <w:rFonts w:hint="eastAsia" w:ascii="宋体" w:hAnsi="宋体" w:cs="宋体"/>
                <w:color w:val="auto"/>
                <w:kern w:val="0"/>
                <w:sz w:val="22"/>
                <w:szCs w:val="22"/>
                <w:highlight w:val="none"/>
                <w:lang w:val="en-US" w:eastAsia="zh-CN"/>
              </w:rPr>
              <w:t>工长</w:t>
            </w:r>
            <w:r>
              <w:rPr>
                <w:rFonts w:hint="eastAsia" w:ascii="宋体" w:hAnsi="宋体" w:cs="宋体"/>
                <w:color w:val="auto"/>
                <w:kern w:val="0"/>
                <w:sz w:val="22"/>
                <w:szCs w:val="22"/>
                <w:highlight w:val="none"/>
              </w:rPr>
              <w:t>：</w:t>
            </w:r>
          </w:p>
          <w:p>
            <w:pPr>
              <w:pStyle w:val="23"/>
              <w:rPr>
                <w:rFonts w:hint="eastAsia"/>
                <w:color w:val="auto"/>
                <w:highlight w:val="none"/>
                <w:lang w:eastAsia="zh-CN"/>
              </w:rPr>
            </w:pPr>
          </w:p>
          <w:p>
            <w:pPr>
              <w:widowControl/>
              <w:textAlignment w:val="center"/>
              <w:rPr>
                <w:rFonts w:hint="eastAsia" w:ascii="宋体" w:hAnsi="宋体" w:eastAsia="宋体" w:cs="宋体"/>
                <w:color w:val="auto"/>
                <w:kern w:val="0"/>
                <w:sz w:val="22"/>
                <w:szCs w:val="22"/>
                <w:highlight w:val="none"/>
                <w:lang w:eastAsia="zh-CN"/>
              </w:rPr>
            </w:pPr>
          </w:p>
          <w:p>
            <w:pPr>
              <w:widowControl/>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日   期：</w:t>
            </w:r>
          </w:p>
        </w:tc>
        <w:tc>
          <w:tcPr>
            <w:tcW w:w="316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项目经理：</w:t>
            </w:r>
          </w:p>
          <w:p>
            <w:pPr>
              <w:pStyle w:val="23"/>
              <w:rPr>
                <w:rFonts w:hint="eastAsia"/>
                <w:color w:val="auto"/>
                <w:highlight w:val="none"/>
                <w:lang w:eastAsia="zh-CN"/>
              </w:rPr>
            </w:pPr>
          </w:p>
          <w:p>
            <w:pPr>
              <w:pStyle w:val="23"/>
              <w:rPr>
                <w:rFonts w:hint="eastAsia"/>
                <w:color w:val="auto"/>
                <w:highlight w:val="none"/>
                <w:lang w:eastAsia="zh-CN"/>
              </w:rPr>
            </w:pPr>
          </w:p>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日   期：</w:t>
            </w:r>
          </w:p>
        </w:tc>
      </w:tr>
    </w:tbl>
    <w:p>
      <w:pPr>
        <w:pStyle w:val="7"/>
        <w:numPr>
          <w:ilvl w:val="0"/>
          <w:numId w:val="12"/>
        </w:numPr>
        <w:rPr>
          <w:rFonts w:hint="eastAsia"/>
          <w:color w:val="auto"/>
          <w:highlight w:val="none"/>
        </w:rPr>
        <w:sectPr>
          <w:footerReference r:id="rId17" w:type="default"/>
          <w:pgSz w:w="16838" w:h="11906" w:orient="landscape"/>
          <w:pgMar w:top="1440" w:right="1797" w:bottom="1440" w:left="1797" w:header="1134" w:footer="1134" w:gutter="0"/>
          <w:pgBorders>
            <w:top w:val="none" w:sz="0" w:space="0"/>
            <w:left w:val="none" w:sz="0" w:space="0"/>
            <w:bottom w:val="none" w:sz="0" w:space="0"/>
            <w:right w:val="none" w:sz="0" w:space="0"/>
          </w:pgBorders>
          <w:pgNumType w:fmt="decimal"/>
          <w:cols w:space="720" w:num="1"/>
          <w:rtlGutter w:val="0"/>
          <w:docGrid w:type="linesAndChars" w:linePitch="319" w:charSpace="0"/>
        </w:sectPr>
      </w:pPr>
    </w:p>
    <w:p>
      <w:pPr>
        <w:rPr>
          <w:color w:val="auto"/>
          <w:highlight w:val="none"/>
        </w:rPr>
      </w:pPr>
    </w:p>
    <w:tbl>
      <w:tblPr>
        <w:tblStyle w:val="24"/>
        <w:tblW w:w="0" w:type="auto"/>
        <w:tblInd w:w="0" w:type="dxa"/>
        <w:tblLayout w:type="fixed"/>
        <w:tblCellMar>
          <w:top w:w="0" w:type="dxa"/>
          <w:left w:w="0" w:type="dxa"/>
          <w:bottom w:w="0" w:type="dxa"/>
          <w:right w:w="0" w:type="dxa"/>
        </w:tblCellMar>
      </w:tblPr>
      <w:tblGrid>
        <w:gridCol w:w="1046"/>
        <w:gridCol w:w="1737"/>
        <w:gridCol w:w="1757"/>
        <w:gridCol w:w="1592"/>
        <w:gridCol w:w="1768"/>
        <w:gridCol w:w="1762"/>
        <w:gridCol w:w="1788"/>
        <w:gridCol w:w="1301"/>
        <w:gridCol w:w="1237"/>
      </w:tblGrid>
      <w:tr>
        <w:tblPrEx>
          <w:tblCellMar>
            <w:top w:w="0" w:type="dxa"/>
            <w:left w:w="0" w:type="dxa"/>
            <w:bottom w:w="0" w:type="dxa"/>
            <w:right w:w="0" w:type="dxa"/>
          </w:tblCellMar>
        </w:tblPrEx>
        <w:trPr>
          <w:trHeight w:val="480" w:hRule="atLeast"/>
        </w:trPr>
        <w:tc>
          <w:tcPr>
            <w:tcW w:w="13988" w:type="dxa"/>
            <w:gridSpan w:val="9"/>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甲供材总需计划表</w:t>
            </w:r>
          </w:p>
        </w:tc>
      </w:tr>
      <w:tr>
        <w:tblPrEx>
          <w:tblCellMar>
            <w:top w:w="0" w:type="dxa"/>
            <w:left w:w="0" w:type="dxa"/>
            <w:bottom w:w="0" w:type="dxa"/>
            <w:right w:w="0" w:type="dxa"/>
          </w:tblCellMar>
        </w:tblPrEx>
        <w:trPr>
          <w:trHeight w:val="420" w:hRule="atLeast"/>
        </w:trPr>
        <w:tc>
          <w:tcPr>
            <w:tcW w:w="13988" w:type="dxa"/>
            <w:gridSpan w:val="9"/>
            <w:tcBorders>
              <w:top w:val="nil"/>
              <w:left w:val="nil"/>
              <w:bottom w:val="single" w:color="000000" w:sz="4" w:space="0"/>
              <w:right w:val="nil"/>
            </w:tcBorders>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编 号：</w:t>
            </w:r>
          </w:p>
        </w:tc>
      </w:tr>
      <w:tr>
        <w:tblPrEx>
          <w:tblCellMar>
            <w:top w:w="0" w:type="dxa"/>
            <w:left w:w="0" w:type="dxa"/>
            <w:bottom w:w="0" w:type="dxa"/>
            <w:right w:w="0" w:type="dxa"/>
          </w:tblCellMar>
        </w:tblPrEx>
        <w:trPr>
          <w:trHeight w:val="570" w:hRule="atLeast"/>
        </w:trPr>
        <w:tc>
          <w:tcPr>
            <w:tcW w:w="10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项目名称：</w:t>
            </w:r>
          </w:p>
        </w:tc>
        <w:tc>
          <w:tcPr>
            <w:tcW w:w="3494"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5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分包单位：</w:t>
            </w:r>
          </w:p>
        </w:tc>
        <w:tc>
          <w:tcPr>
            <w:tcW w:w="3530"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填报时间：</w:t>
            </w:r>
          </w:p>
        </w:tc>
        <w:tc>
          <w:tcPr>
            <w:tcW w:w="2538"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570" w:hRule="atLeast"/>
        </w:trPr>
        <w:tc>
          <w:tcPr>
            <w:tcW w:w="10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val="en-US" w:eastAsia="zh-CN"/>
              </w:rPr>
              <w:t>分包</w:t>
            </w:r>
            <w:r>
              <w:rPr>
                <w:rFonts w:hint="eastAsia" w:ascii="宋体" w:hAnsi="宋体" w:cs="宋体"/>
                <w:color w:val="auto"/>
                <w:kern w:val="0"/>
                <w:sz w:val="22"/>
                <w:szCs w:val="22"/>
                <w:highlight w:val="none"/>
              </w:rPr>
              <w:t>合同名称：</w:t>
            </w:r>
          </w:p>
        </w:tc>
        <w:tc>
          <w:tcPr>
            <w:tcW w:w="3494"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5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val="en-US" w:eastAsia="zh-CN"/>
              </w:rPr>
              <w:t>分包</w:t>
            </w:r>
            <w:r>
              <w:rPr>
                <w:rFonts w:hint="eastAsia" w:ascii="宋体" w:hAnsi="宋体" w:cs="宋体"/>
                <w:color w:val="auto"/>
                <w:kern w:val="0"/>
                <w:sz w:val="22"/>
                <w:szCs w:val="22"/>
                <w:highlight w:val="none"/>
              </w:rPr>
              <w:t>合同编号：</w:t>
            </w:r>
          </w:p>
        </w:tc>
        <w:tc>
          <w:tcPr>
            <w:tcW w:w="3530"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项目开、竣工时间：</w:t>
            </w:r>
          </w:p>
        </w:tc>
        <w:tc>
          <w:tcPr>
            <w:tcW w:w="2538"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855" w:hRule="atLeast"/>
        </w:trPr>
        <w:tc>
          <w:tcPr>
            <w:tcW w:w="10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序号</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材料名称</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规格型号</w:t>
            </w:r>
          </w:p>
        </w:tc>
        <w:tc>
          <w:tcPr>
            <w:tcW w:w="15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厂家/品牌</w:t>
            </w:r>
          </w:p>
        </w:tc>
        <w:tc>
          <w:tcPr>
            <w:tcW w:w="1768"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质量要求/技术标准</w:t>
            </w:r>
          </w:p>
        </w:tc>
        <w:tc>
          <w:tcPr>
            <w:tcW w:w="176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计量单位</w:t>
            </w: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总需计划数量</w:t>
            </w:r>
          </w:p>
        </w:tc>
        <w:tc>
          <w:tcPr>
            <w:tcW w:w="13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首批材料计划需用时间</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备 注</w:t>
            </w:r>
          </w:p>
        </w:tc>
      </w:tr>
      <w:tr>
        <w:tblPrEx>
          <w:tblCellMar>
            <w:top w:w="0" w:type="dxa"/>
            <w:left w:w="0" w:type="dxa"/>
            <w:bottom w:w="0" w:type="dxa"/>
            <w:right w:w="0" w:type="dxa"/>
          </w:tblCellMar>
        </w:tblPrEx>
        <w:trPr>
          <w:trHeight w:val="525" w:hRule="atLeast"/>
        </w:trPr>
        <w:tc>
          <w:tcPr>
            <w:tcW w:w="10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5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3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525" w:hRule="atLeast"/>
        </w:trPr>
        <w:tc>
          <w:tcPr>
            <w:tcW w:w="10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5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3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525" w:hRule="atLeast"/>
        </w:trPr>
        <w:tc>
          <w:tcPr>
            <w:tcW w:w="10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5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3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525" w:hRule="atLeast"/>
        </w:trPr>
        <w:tc>
          <w:tcPr>
            <w:tcW w:w="790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合   计</w:t>
            </w:r>
          </w:p>
        </w:tc>
        <w:tc>
          <w:tcPr>
            <w:tcW w:w="1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3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900" w:hRule="atLeast"/>
        </w:trPr>
        <w:tc>
          <w:tcPr>
            <w:tcW w:w="45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分包单位负责人：</w:t>
            </w:r>
          </w:p>
          <w:p>
            <w:pPr>
              <w:pStyle w:val="23"/>
              <w:rPr>
                <w:rFonts w:hint="eastAsia"/>
                <w:color w:val="auto"/>
                <w:highlight w:val="none"/>
                <w:lang w:eastAsia="zh-CN"/>
              </w:rPr>
            </w:pPr>
          </w:p>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日   期：</w:t>
            </w:r>
          </w:p>
        </w:tc>
        <w:tc>
          <w:tcPr>
            <w:tcW w:w="512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项目</w:t>
            </w:r>
            <w:r>
              <w:rPr>
                <w:rFonts w:hint="eastAsia" w:ascii="宋体" w:hAnsi="宋体" w:cs="宋体"/>
                <w:color w:val="auto"/>
                <w:kern w:val="0"/>
                <w:sz w:val="22"/>
                <w:szCs w:val="22"/>
                <w:highlight w:val="none"/>
                <w:lang w:val="en-US" w:eastAsia="zh-CN"/>
              </w:rPr>
              <w:t>工长</w:t>
            </w:r>
            <w:r>
              <w:rPr>
                <w:rFonts w:hint="eastAsia" w:ascii="宋体" w:hAnsi="宋体" w:cs="宋体"/>
                <w:color w:val="auto"/>
                <w:kern w:val="0"/>
                <w:sz w:val="22"/>
                <w:szCs w:val="22"/>
                <w:highlight w:val="none"/>
              </w:rPr>
              <w:t>：</w:t>
            </w:r>
          </w:p>
          <w:p>
            <w:pPr>
              <w:pStyle w:val="23"/>
              <w:rPr>
                <w:rFonts w:hint="eastAsia"/>
                <w:color w:val="auto"/>
                <w:highlight w:val="none"/>
                <w:lang w:eastAsia="zh-CN"/>
              </w:rPr>
            </w:pPr>
          </w:p>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日   期：</w:t>
            </w:r>
          </w:p>
        </w:tc>
        <w:tc>
          <w:tcPr>
            <w:tcW w:w="432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项目技术</w:t>
            </w:r>
            <w:r>
              <w:rPr>
                <w:rFonts w:hint="eastAsia" w:ascii="宋体" w:hAnsi="宋体" w:cs="宋体"/>
                <w:color w:val="auto"/>
                <w:kern w:val="0"/>
                <w:sz w:val="22"/>
                <w:szCs w:val="22"/>
                <w:highlight w:val="none"/>
                <w:lang w:val="en-US" w:eastAsia="zh-CN"/>
              </w:rPr>
              <w:t>员</w:t>
            </w:r>
            <w:r>
              <w:rPr>
                <w:rFonts w:hint="eastAsia" w:ascii="宋体" w:hAnsi="宋体" w:cs="宋体"/>
                <w:color w:val="auto"/>
                <w:kern w:val="0"/>
                <w:sz w:val="22"/>
                <w:szCs w:val="22"/>
                <w:highlight w:val="none"/>
              </w:rPr>
              <w:t>：</w:t>
            </w:r>
          </w:p>
          <w:p>
            <w:pPr>
              <w:pStyle w:val="23"/>
              <w:rPr>
                <w:rFonts w:hint="eastAsia"/>
                <w:color w:val="auto"/>
                <w:highlight w:val="none"/>
                <w:lang w:eastAsia="zh-CN"/>
              </w:rPr>
            </w:pPr>
          </w:p>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日   期：</w:t>
            </w:r>
          </w:p>
        </w:tc>
      </w:tr>
      <w:tr>
        <w:tblPrEx>
          <w:tblCellMar>
            <w:top w:w="0" w:type="dxa"/>
            <w:left w:w="0" w:type="dxa"/>
            <w:bottom w:w="0" w:type="dxa"/>
            <w:right w:w="0" w:type="dxa"/>
          </w:tblCellMar>
        </w:tblPrEx>
        <w:trPr>
          <w:trHeight w:val="900" w:hRule="atLeast"/>
        </w:trPr>
        <w:tc>
          <w:tcPr>
            <w:tcW w:w="45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项目</w:t>
            </w:r>
            <w:r>
              <w:rPr>
                <w:rFonts w:hint="eastAsia" w:ascii="宋体" w:hAnsi="宋体" w:cs="宋体"/>
                <w:color w:val="auto"/>
                <w:kern w:val="0"/>
                <w:sz w:val="22"/>
                <w:szCs w:val="22"/>
                <w:highlight w:val="none"/>
                <w:lang w:val="en-US" w:eastAsia="zh-CN"/>
              </w:rPr>
              <w:t>材料员</w:t>
            </w:r>
            <w:r>
              <w:rPr>
                <w:rFonts w:hint="eastAsia" w:ascii="宋体" w:hAnsi="宋体" w:cs="宋体"/>
                <w:color w:val="auto"/>
                <w:kern w:val="0"/>
                <w:sz w:val="22"/>
                <w:szCs w:val="22"/>
                <w:highlight w:val="none"/>
              </w:rPr>
              <w:t>：</w:t>
            </w:r>
          </w:p>
          <w:p>
            <w:pPr>
              <w:pStyle w:val="23"/>
              <w:rPr>
                <w:rFonts w:hint="eastAsia"/>
                <w:color w:val="auto"/>
                <w:highlight w:val="none"/>
                <w:lang w:eastAsia="zh-CN"/>
              </w:rPr>
            </w:pPr>
          </w:p>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日   期：</w:t>
            </w:r>
          </w:p>
        </w:tc>
        <w:tc>
          <w:tcPr>
            <w:tcW w:w="512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项目</w:t>
            </w:r>
            <w:r>
              <w:rPr>
                <w:rFonts w:hint="eastAsia" w:ascii="宋体" w:hAnsi="宋体" w:cs="宋体"/>
                <w:color w:val="auto"/>
                <w:kern w:val="0"/>
                <w:sz w:val="22"/>
                <w:szCs w:val="22"/>
                <w:highlight w:val="none"/>
                <w:lang w:val="en-US" w:eastAsia="zh-CN"/>
              </w:rPr>
              <w:t>预算员</w:t>
            </w:r>
            <w:r>
              <w:rPr>
                <w:rFonts w:hint="eastAsia" w:ascii="宋体" w:hAnsi="宋体" w:cs="宋体"/>
                <w:color w:val="auto"/>
                <w:kern w:val="0"/>
                <w:sz w:val="22"/>
                <w:szCs w:val="22"/>
                <w:highlight w:val="none"/>
              </w:rPr>
              <w:t>：</w:t>
            </w:r>
          </w:p>
          <w:p>
            <w:pPr>
              <w:pStyle w:val="23"/>
              <w:rPr>
                <w:rFonts w:hint="eastAsia"/>
                <w:color w:val="auto"/>
                <w:highlight w:val="none"/>
                <w:lang w:eastAsia="zh-CN"/>
              </w:rPr>
            </w:pPr>
          </w:p>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日   期：</w:t>
            </w:r>
          </w:p>
        </w:tc>
        <w:tc>
          <w:tcPr>
            <w:tcW w:w="432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项目经理：</w:t>
            </w:r>
          </w:p>
          <w:p>
            <w:pPr>
              <w:pStyle w:val="23"/>
              <w:rPr>
                <w:rFonts w:hint="eastAsia"/>
                <w:color w:val="auto"/>
                <w:highlight w:val="none"/>
                <w:lang w:eastAsia="zh-CN"/>
              </w:rPr>
            </w:pPr>
          </w:p>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日   期：</w:t>
            </w:r>
          </w:p>
        </w:tc>
      </w:tr>
    </w:tbl>
    <w:p>
      <w:pPr>
        <w:pStyle w:val="2"/>
        <w:outlineLvl w:val="9"/>
        <w:rPr>
          <w:color w:val="auto"/>
          <w:highlight w:val="none"/>
        </w:rPr>
        <w:sectPr>
          <w:pgSz w:w="16838" w:h="11906" w:orient="landscape"/>
          <w:pgMar w:top="1440" w:right="1797" w:bottom="1440" w:left="1797" w:header="1134" w:footer="1134" w:gutter="0"/>
          <w:pgBorders>
            <w:top w:val="none" w:sz="0" w:space="0"/>
            <w:left w:val="none" w:sz="0" w:space="0"/>
            <w:bottom w:val="none" w:sz="0" w:space="0"/>
            <w:right w:val="none" w:sz="0" w:space="0"/>
          </w:pgBorders>
          <w:pgNumType w:fmt="decimal"/>
          <w:cols w:space="720" w:num="1"/>
          <w:rtlGutter w:val="0"/>
          <w:docGrid w:type="linesAndChars" w:linePitch="319" w:charSpace="0"/>
        </w:sectPr>
      </w:pPr>
    </w:p>
    <w:p>
      <w:pPr>
        <w:rPr>
          <w:color w:val="auto"/>
          <w:highlight w:val="none"/>
        </w:rPr>
      </w:pPr>
    </w:p>
    <w:tbl>
      <w:tblPr>
        <w:tblStyle w:val="24"/>
        <w:tblW w:w="0" w:type="auto"/>
        <w:tblInd w:w="0" w:type="dxa"/>
        <w:tblLayout w:type="fixed"/>
        <w:tblCellMar>
          <w:top w:w="0" w:type="dxa"/>
          <w:left w:w="0" w:type="dxa"/>
          <w:bottom w:w="0" w:type="dxa"/>
          <w:right w:w="0" w:type="dxa"/>
        </w:tblCellMar>
      </w:tblPr>
      <w:tblGrid>
        <w:gridCol w:w="1091"/>
        <w:gridCol w:w="1211"/>
        <w:gridCol w:w="1150"/>
        <w:gridCol w:w="1183"/>
        <w:gridCol w:w="1460"/>
        <w:gridCol w:w="932"/>
        <w:gridCol w:w="1455"/>
        <w:gridCol w:w="1463"/>
        <w:gridCol w:w="1455"/>
        <w:gridCol w:w="1111"/>
        <w:gridCol w:w="1477"/>
      </w:tblGrid>
      <w:tr>
        <w:tblPrEx>
          <w:tblCellMar>
            <w:top w:w="0" w:type="dxa"/>
            <w:left w:w="0" w:type="dxa"/>
            <w:bottom w:w="0" w:type="dxa"/>
            <w:right w:w="0" w:type="dxa"/>
          </w:tblCellMar>
        </w:tblPrEx>
        <w:trPr>
          <w:trHeight w:val="480" w:hRule="atLeast"/>
        </w:trPr>
        <w:tc>
          <w:tcPr>
            <w:tcW w:w="13988" w:type="dxa"/>
            <w:gridSpan w:val="11"/>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甲供材批次采购计划表</w:t>
            </w:r>
          </w:p>
        </w:tc>
      </w:tr>
      <w:tr>
        <w:tblPrEx>
          <w:tblCellMar>
            <w:top w:w="0" w:type="dxa"/>
            <w:left w:w="0" w:type="dxa"/>
            <w:bottom w:w="0" w:type="dxa"/>
            <w:right w:w="0" w:type="dxa"/>
          </w:tblCellMar>
        </w:tblPrEx>
        <w:trPr>
          <w:trHeight w:val="420" w:hRule="atLeast"/>
        </w:trPr>
        <w:tc>
          <w:tcPr>
            <w:tcW w:w="13988" w:type="dxa"/>
            <w:gridSpan w:val="11"/>
            <w:tcBorders>
              <w:top w:val="nil"/>
              <w:left w:val="nil"/>
              <w:bottom w:val="single" w:color="000000" w:sz="4" w:space="0"/>
              <w:right w:val="nil"/>
            </w:tcBorders>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编号：</w:t>
            </w:r>
          </w:p>
        </w:tc>
      </w:tr>
      <w:tr>
        <w:tblPrEx>
          <w:tblCellMar>
            <w:top w:w="0" w:type="dxa"/>
            <w:left w:w="0" w:type="dxa"/>
            <w:bottom w:w="0" w:type="dxa"/>
            <w:right w:w="0" w:type="dxa"/>
          </w:tblCellMar>
        </w:tblPrEx>
        <w:trPr>
          <w:trHeight w:val="570" w:hRule="atLeast"/>
        </w:trPr>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项目名称：</w:t>
            </w:r>
          </w:p>
        </w:tc>
        <w:tc>
          <w:tcPr>
            <w:tcW w:w="354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分包单位：</w:t>
            </w:r>
          </w:p>
        </w:tc>
        <w:tc>
          <w:tcPr>
            <w:tcW w:w="38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填报时间：</w:t>
            </w:r>
          </w:p>
        </w:tc>
        <w:tc>
          <w:tcPr>
            <w:tcW w:w="25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570" w:hRule="atLeast"/>
        </w:trPr>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val="en-US" w:eastAsia="zh-CN"/>
              </w:rPr>
              <w:t>分包</w:t>
            </w:r>
            <w:r>
              <w:rPr>
                <w:rFonts w:hint="eastAsia" w:ascii="宋体" w:hAnsi="宋体" w:cs="宋体"/>
                <w:color w:val="auto"/>
                <w:kern w:val="0"/>
                <w:sz w:val="22"/>
                <w:szCs w:val="22"/>
                <w:highlight w:val="none"/>
              </w:rPr>
              <w:t>合同名称：</w:t>
            </w:r>
          </w:p>
        </w:tc>
        <w:tc>
          <w:tcPr>
            <w:tcW w:w="354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val="en-US" w:eastAsia="zh-CN"/>
              </w:rPr>
              <w:t>分包</w:t>
            </w:r>
            <w:r>
              <w:rPr>
                <w:rFonts w:hint="eastAsia" w:ascii="宋体" w:hAnsi="宋体" w:cs="宋体"/>
                <w:color w:val="auto"/>
                <w:kern w:val="0"/>
                <w:sz w:val="22"/>
                <w:szCs w:val="22"/>
                <w:highlight w:val="none"/>
              </w:rPr>
              <w:t>合同编号：</w:t>
            </w:r>
          </w:p>
        </w:tc>
        <w:tc>
          <w:tcPr>
            <w:tcW w:w="38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项目开、竣工时间：</w:t>
            </w:r>
          </w:p>
        </w:tc>
        <w:tc>
          <w:tcPr>
            <w:tcW w:w="25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855" w:hRule="atLeast"/>
        </w:trPr>
        <w:tc>
          <w:tcPr>
            <w:tcW w:w="109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序号</w:t>
            </w:r>
          </w:p>
        </w:tc>
        <w:tc>
          <w:tcPr>
            <w:tcW w:w="12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材料名称</w:t>
            </w:r>
          </w:p>
        </w:tc>
        <w:tc>
          <w:tcPr>
            <w:tcW w:w="11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规格型号</w:t>
            </w:r>
          </w:p>
        </w:tc>
        <w:tc>
          <w:tcPr>
            <w:tcW w:w="11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厂家/品牌</w:t>
            </w:r>
          </w:p>
        </w:tc>
        <w:tc>
          <w:tcPr>
            <w:tcW w:w="14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质量要求/技术标准</w:t>
            </w:r>
          </w:p>
        </w:tc>
        <w:tc>
          <w:tcPr>
            <w:tcW w:w="93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计量单位</w:t>
            </w:r>
          </w:p>
        </w:tc>
        <w:tc>
          <w:tcPr>
            <w:tcW w:w="145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总需计划数量</w:t>
            </w:r>
          </w:p>
        </w:tc>
        <w:tc>
          <w:tcPr>
            <w:tcW w:w="146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截止上批次材料计划累计已进场数量</w:t>
            </w:r>
          </w:p>
        </w:tc>
        <w:tc>
          <w:tcPr>
            <w:tcW w:w="145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本批次计划进场数量</w:t>
            </w: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总需计划剩余数量</w:t>
            </w:r>
          </w:p>
        </w:tc>
        <w:tc>
          <w:tcPr>
            <w:tcW w:w="147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备 注</w:t>
            </w:r>
          </w:p>
        </w:tc>
      </w:tr>
      <w:tr>
        <w:tblPrEx>
          <w:tblCellMar>
            <w:top w:w="0" w:type="dxa"/>
            <w:left w:w="0" w:type="dxa"/>
            <w:bottom w:w="0" w:type="dxa"/>
            <w:right w:w="0" w:type="dxa"/>
          </w:tblCellMar>
        </w:tblPrEx>
        <w:trPr>
          <w:trHeight w:val="525" w:hRule="atLeast"/>
        </w:trPr>
        <w:tc>
          <w:tcPr>
            <w:tcW w:w="10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2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1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1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9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2</w:t>
            </w:r>
          </w:p>
        </w:tc>
        <w:tc>
          <w:tcPr>
            <w:tcW w:w="1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3</w:t>
            </w: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4=1-2-3</w:t>
            </w:r>
          </w:p>
        </w:tc>
        <w:tc>
          <w:tcPr>
            <w:tcW w:w="14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525" w:hRule="atLeast"/>
        </w:trPr>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1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9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525" w:hRule="atLeast"/>
        </w:trPr>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1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9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525" w:hRule="atLeast"/>
        </w:trPr>
        <w:tc>
          <w:tcPr>
            <w:tcW w:w="609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合   计</w:t>
            </w:r>
          </w:p>
        </w:tc>
        <w:tc>
          <w:tcPr>
            <w:tcW w:w="9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900" w:hRule="atLeast"/>
        </w:trPr>
        <w:tc>
          <w:tcPr>
            <w:tcW w:w="463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分包单位负责人：</w:t>
            </w:r>
          </w:p>
          <w:p>
            <w:pPr>
              <w:pStyle w:val="23"/>
              <w:rPr>
                <w:rFonts w:hint="eastAsia"/>
                <w:color w:val="auto"/>
                <w:highlight w:val="none"/>
                <w:lang w:eastAsia="zh-CN"/>
              </w:rPr>
            </w:pPr>
          </w:p>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日   期：</w:t>
            </w:r>
          </w:p>
        </w:tc>
        <w:tc>
          <w:tcPr>
            <w:tcW w:w="531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项目</w:t>
            </w:r>
            <w:r>
              <w:rPr>
                <w:rFonts w:hint="eastAsia" w:ascii="宋体" w:hAnsi="宋体" w:cs="宋体"/>
                <w:color w:val="auto"/>
                <w:kern w:val="0"/>
                <w:sz w:val="22"/>
                <w:szCs w:val="22"/>
                <w:highlight w:val="none"/>
                <w:lang w:val="en-US" w:eastAsia="zh-CN"/>
              </w:rPr>
              <w:t>工长</w:t>
            </w:r>
            <w:r>
              <w:rPr>
                <w:rFonts w:hint="eastAsia" w:ascii="宋体" w:hAnsi="宋体" w:cs="宋体"/>
                <w:color w:val="auto"/>
                <w:kern w:val="0"/>
                <w:sz w:val="22"/>
                <w:szCs w:val="22"/>
                <w:highlight w:val="none"/>
              </w:rPr>
              <w:t>：</w:t>
            </w:r>
          </w:p>
          <w:p>
            <w:pPr>
              <w:pStyle w:val="23"/>
              <w:rPr>
                <w:rFonts w:hint="eastAsia"/>
                <w:color w:val="auto"/>
                <w:highlight w:val="none"/>
                <w:lang w:eastAsia="zh-CN"/>
              </w:rPr>
            </w:pPr>
          </w:p>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日   期：</w:t>
            </w:r>
          </w:p>
        </w:tc>
        <w:tc>
          <w:tcPr>
            <w:tcW w:w="40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项目技术</w:t>
            </w:r>
            <w:r>
              <w:rPr>
                <w:rFonts w:hint="eastAsia" w:ascii="宋体" w:hAnsi="宋体" w:cs="宋体"/>
                <w:color w:val="auto"/>
                <w:kern w:val="0"/>
                <w:sz w:val="22"/>
                <w:szCs w:val="22"/>
                <w:highlight w:val="none"/>
                <w:lang w:val="en-US" w:eastAsia="zh-CN"/>
              </w:rPr>
              <w:t>员</w:t>
            </w:r>
            <w:r>
              <w:rPr>
                <w:rFonts w:hint="eastAsia" w:ascii="宋体" w:hAnsi="宋体" w:cs="宋体"/>
                <w:color w:val="auto"/>
                <w:kern w:val="0"/>
                <w:sz w:val="22"/>
                <w:szCs w:val="22"/>
                <w:highlight w:val="none"/>
              </w:rPr>
              <w:t>：</w:t>
            </w:r>
          </w:p>
          <w:p>
            <w:pPr>
              <w:pStyle w:val="23"/>
              <w:rPr>
                <w:rFonts w:hint="eastAsia"/>
                <w:color w:val="auto"/>
                <w:highlight w:val="none"/>
                <w:lang w:eastAsia="zh-CN"/>
              </w:rPr>
            </w:pPr>
          </w:p>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日   期：</w:t>
            </w:r>
          </w:p>
        </w:tc>
      </w:tr>
      <w:tr>
        <w:tblPrEx>
          <w:tblCellMar>
            <w:top w:w="0" w:type="dxa"/>
            <w:left w:w="0" w:type="dxa"/>
            <w:bottom w:w="0" w:type="dxa"/>
            <w:right w:w="0" w:type="dxa"/>
          </w:tblCellMar>
        </w:tblPrEx>
        <w:trPr>
          <w:trHeight w:val="900" w:hRule="atLeast"/>
        </w:trPr>
        <w:tc>
          <w:tcPr>
            <w:tcW w:w="4635" w:type="dxa"/>
            <w:gridSpan w:val="4"/>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项目</w:t>
            </w:r>
            <w:r>
              <w:rPr>
                <w:rFonts w:hint="eastAsia" w:ascii="宋体" w:hAnsi="宋体" w:cs="宋体"/>
                <w:color w:val="auto"/>
                <w:kern w:val="0"/>
                <w:sz w:val="22"/>
                <w:szCs w:val="22"/>
                <w:highlight w:val="none"/>
                <w:lang w:val="en-US" w:eastAsia="zh-CN"/>
              </w:rPr>
              <w:t>材料员</w:t>
            </w:r>
            <w:r>
              <w:rPr>
                <w:rFonts w:hint="eastAsia" w:ascii="宋体" w:hAnsi="宋体" w:cs="宋体"/>
                <w:color w:val="auto"/>
                <w:kern w:val="0"/>
                <w:sz w:val="22"/>
                <w:szCs w:val="22"/>
                <w:highlight w:val="none"/>
              </w:rPr>
              <w:t>：</w:t>
            </w:r>
          </w:p>
          <w:p>
            <w:pPr>
              <w:pStyle w:val="23"/>
              <w:rPr>
                <w:rFonts w:hint="eastAsia"/>
                <w:color w:val="auto"/>
                <w:highlight w:val="none"/>
                <w:lang w:eastAsia="zh-CN"/>
              </w:rPr>
            </w:pPr>
          </w:p>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日   期：</w:t>
            </w:r>
          </w:p>
        </w:tc>
        <w:tc>
          <w:tcPr>
            <w:tcW w:w="5310" w:type="dxa"/>
            <w:gridSpan w:val="4"/>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项目</w:t>
            </w:r>
            <w:r>
              <w:rPr>
                <w:rFonts w:hint="eastAsia" w:ascii="宋体" w:hAnsi="宋体" w:cs="宋体"/>
                <w:color w:val="auto"/>
                <w:kern w:val="0"/>
                <w:sz w:val="22"/>
                <w:szCs w:val="22"/>
                <w:highlight w:val="none"/>
                <w:lang w:val="en-US" w:eastAsia="zh-CN"/>
              </w:rPr>
              <w:t>预算员</w:t>
            </w:r>
            <w:r>
              <w:rPr>
                <w:rFonts w:hint="eastAsia" w:ascii="宋体" w:hAnsi="宋体" w:cs="宋体"/>
                <w:color w:val="auto"/>
                <w:kern w:val="0"/>
                <w:sz w:val="22"/>
                <w:szCs w:val="22"/>
                <w:highlight w:val="none"/>
              </w:rPr>
              <w:t>：</w:t>
            </w:r>
          </w:p>
          <w:p>
            <w:pPr>
              <w:pStyle w:val="23"/>
              <w:rPr>
                <w:rFonts w:hint="eastAsia"/>
                <w:color w:val="auto"/>
                <w:highlight w:val="none"/>
                <w:lang w:eastAsia="zh-CN"/>
              </w:rPr>
            </w:pPr>
          </w:p>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日   期：</w:t>
            </w:r>
          </w:p>
        </w:tc>
        <w:tc>
          <w:tcPr>
            <w:tcW w:w="40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项目经理：</w:t>
            </w:r>
          </w:p>
          <w:p>
            <w:pPr>
              <w:pStyle w:val="23"/>
              <w:rPr>
                <w:rFonts w:hint="eastAsia"/>
                <w:color w:val="auto"/>
                <w:highlight w:val="none"/>
                <w:lang w:eastAsia="zh-CN"/>
              </w:rPr>
            </w:pPr>
          </w:p>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日   期：</w:t>
            </w:r>
          </w:p>
        </w:tc>
      </w:tr>
    </w:tbl>
    <w:p>
      <w:pPr>
        <w:pStyle w:val="2"/>
        <w:outlineLvl w:val="9"/>
        <w:rPr>
          <w:color w:val="auto"/>
          <w:highlight w:val="none"/>
        </w:rPr>
        <w:sectPr>
          <w:pgSz w:w="16838" w:h="11906" w:orient="landscape"/>
          <w:pgMar w:top="1440" w:right="1797" w:bottom="1440" w:left="1797" w:header="1134" w:footer="1134" w:gutter="0"/>
          <w:pgBorders>
            <w:top w:val="none" w:sz="0" w:space="0"/>
            <w:left w:val="none" w:sz="0" w:space="0"/>
            <w:bottom w:val="none" w:sz="0" w:space="0"/>
            <w:right w:val="none" w:sz="0" w:space="0"/>
          </w:pgBorders>
          <w:pgNumType w:fmt="decimal"/>
          <w:cols w:space="720" w:num="1"/>
          <w:rtlGutter w:val="0"/>
          <w:docGrid w:type="linesAndChars" w:linePitch="319" w:charSpace="0"/>
        </w:sectPr>
      </w:pPr>
    </w:p>
    <w:p>
      <w:pPr>
        <w:widowControl/>
        <w:jc w:val="center"/>
        <w:outlineLvl w:val="9"/>
        <w:rPr>
          <w:rFonts w:hint="eastAsia" w:ascii="宋体" w:hAnsi="宋体" w:cs="宋体"/>
          <w:b/>
          <w:bCs/>
          <w:color w:val="auto"/>
          <w:kern w:val="0"/>
          <w:sz w:val="32"/>
          <w:szCs w:val="32"/>
          <w:highlight w:val="none"/>
        </w:rPr>
      </w:pPr>
      <w:bookmarkStart w:id="260" w:name="_Toc18258"/>
      <w:bookmarkStart w:id="261" w:name="_Toc19664"/>
      <w:r>
        <w:rPr>
          <w:rFonts w:hint="eastAsia" w:ascii="宋体" w:hAnsi="宋体" w:cs="宋体"/>
          <w:b/>
          <w:bCs/>
          <w:color w:val="auto"/>
          <w:kern w:val="0"/>
          <w:sz w:val="32"/>
          <w:szCs w:val="32"/>
          <w:highlight w:val="none"/>
        </w:rPr>
        <w:t>甲供材不合格产品确认单</w:t>
      </w:r>
      <w:bookmarkEnd w:id="260"/>
      <w:bookmarkEnd w:id="261"/>
    </w:p>
    <w:p>
      <w:pPr>
        <w:ind w:firstLine="800" w:firstLineChars="400"/>
        <w:rPr>
          <w:rFonts w:hint="eastAsia"/>
          <w:color w:val="auto"/>
          <w:sz w:val="20"/>
          <w:highlight w:val="none"/>
        </w:rPr>
      </w:pPr>
      <w:r>
        <w:rPr>
          <w:rFonts w:hint="eastAsia"/>
          <w:color w:val="auto"/>
          <w:sz w:val="20"/>
          <w:highlight w:val="none"/>
        </w:rPr>
        <w:t>确认单编号：</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709"/>
        <w:gridCol w:w="709"/>
        <w:gridCol w:w="1276"/>
        <w:gridCol w:w="1134"/>
        <w:gridCol w:w="283"/>
        <w:gridCol w:w="1042"/>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3" w:type="dxa"/>
            <w:gridSpan w:val="2"/>
            <w:vAlign w:val="center"/>
          </w:tcPr>
          <w:p>
            <w:pPr>
              <w:autoSpaceDE w:val="0"/>
              <w:autoSpaceDN w:val="0"/>
              <w:adjustRightInd w:val="0"/>
              <w:spacing w:after="120" w:line="440" w:lineRule="exact"/>
              <w:jc w:val="center"/>
              <w:rPr>
                <w:rFonts w:hint="eastAsia" w:ascii="宋体" w:hAnsi="宋体" w:cs="宋体"/>
                <w:color w:val="auto"/>
                <w:sz w:val="20"/>
                <w:highlight w:val="none"/>
              </w:rPr>
            </w:pPr>
            <w:r>
              <w:rPr>
                <w:rFonts w:hint="eastAsia" w:ascii="宋体" w:hAnsi="宋体" w:cs="宋体"/>
                <w:color w:val="auto"/>
                <w:sz w:val="20"/>
                <w:highlight w:val="none"/>
              </w:rPr>
              <w:t>项目名称</w:t>
            </w:r>
          </w:p>
        </w:tc>
        <w:tc>
          <w:tcPr>
            <w:tcW w:w="1985" w:type="dxa"/>
            <w:gridSpan w:val="2"/>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2459" w:type="dxa"/>
            <w:gridSpan w:val="3"/>
            <w:vAlign w:val="center"/>
          </w:tcPr>
          <w:p>
            <w:pPr>
              <w:autoSpaceDE w:val="0"/>
              <w:autoSpaceDN w:val="0"/>
              <w:adjustRightInd w:val="0"/>
              <w:spacing w:after="120" w:line="440" w:lineRule="exact"/>
              <w:jc w:val="center"/>
              <w:rPr>
                <w:rFonts w:hint="eastAsia" w:ascii="宋体" w:hAnsi="宋体" w:cs="宋体"/>
                <w:color w:val="auto"/>
                <w:sz w:val="20"/>
                <w:highlight w:val="none"/>
              </w:rPr>
            </w:pPr>
            <w:r>
              <w:rPr>
                <w:rFonts w:hint="eastAsia" w:ascii="宋体" w:hAnsi="宋体" w:cs="宋体"/>
                <w:color w:val="auto"/>
                <w:sz w:val="20"/>
                <w:highlight w:val="none"/>
              </w:rPr>
              <w:t>分包单位</w:t>
            </w:r>
          </w:p>
        </w:tc>
        <w:tc>
          <w:tcPr>
            <w:tcW w:w="1510"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3" w:type="dxa"/>
            <w:gridSpan w:val="2"/>
            <w:vAlign w:val="center"/>
          </w:tcPr>
          <w:p>
            <w:pPr>
              <w:autoSpaceDE w:val="0"/>
              <w:autoSpaceDN w:val="0"/>
              <w:adjustRightInd w:val="0"/>
              <w:spacing w:after="120" w:line="440" w:lineRule="exact"/>
              <w:jc w:val="center"/>
              <w:rPr>
                <w:rFonts w:hint="eastAsia" w:ascii="宋体" w:hAnsi="宋体" w:cs="宋体"/>
                <w:color w:val="auto"/>
                <w:sz w:val="20"/>
                <w:highlight w:val="none"/>
              </w:rPr>
            </w:pPr>
            <w:r>
              <w:rPr>
                <w:rFonts w:hint="eastAsia" w:ascii="宋体" w:hAnsi="宋体" w:cs="宋体"/>
                <w:color w:val="auto"/>
                <w:sz w:val="20"/>
                <w:highlight w:val="none"/>
              </w:rPr>
              <w:t>分包合同名称</w:t>
            </w:r>
          </w:p>
        </w:tc>
        <w:tc>
          <w:tcPr>
            <w:tcW w:w="1985" w:type="dxa"/>
            <w:gridSpan w:val="2"/>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2459" w:type="dxa"/>
            <w:gridSpan w:val="3"/>
            <w:vAlign w:val="center"/>
          </w:tcPr>
          <w:p>
            <w:pPr>
              <w:autoSpaceDE w:val="0"/>
              <w:autoSpaceDN w:val="0"/>
              <w:adjustRightInd w:val="0"/>
              <w:spacing w:after="120" w:line="440" w:lineRule="exact"/>
              <w:jc w:val="center"/>
              <w:rPr>
                <w:rFonts w:hint="eastAsia" w:ascii="宋体" w:hAnsi="宋体" w:cs="宋体"/>
                <w:color w:val="auto"/>
                <w:sz w:val="20"/>
                <w:highlight w:val="none"/>
              </w:rPr>
            </w:pPr>
            <w:r>
              <w:rPr>
                <w:rFonts w:hint="eastAsia" w:ascii="宋体" w:hAnsi="宋体" w:cs="宋体"/>
                <w:color w:val="auto"/>
                <w:sz w:val="20"/>
                <w:highlight w:val="none"/>
              </w:rPr>
              <w:t>合同编码</w:t>
            </w:r>
          </w:p>
        </w:tc>
        <w:tc>
          <w:tcPr>
            <w:tcW w:w="1510"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3" w:type="dxa"/>
            <w:gridSpan w:val="2"/>
            <w:vAlign w:val="center"/>
          </w:tcPr>
          <w:p>
            <w:pPr>
              <w:autoSpaceDE w:val="0"/>
              <w:autoSpaceDN w:val="0"/>
              <w:adjustRightInd w:val="0"/>
              <w:spacing w:after="120" w:line="440" w:lineRule="exact"/>
              <w:jc w:val="center"/>
              <w:rPr>
                <w:rFonts w:hint="eastAsia" w:ascii="宋体" w:hAnsi="宋体" w:cs="宋体"/>
                <w:color w:val="auto"/>
                <w:sz w:val="20"/>
                <w:highlight w:val="none"/>
              </w:rPr>
            </w:pPr>
            <w:r>
              <w:rPr>
                <w:rFonts w:hint="eastAsia" w:ascii="宋体" w:hAnsi="宋体" w:cs="宋体"/>
                <w:color w:val="auto"/>
                <w:sz w:val="20"/>
                <w:highlight w:val="none"/>
              </w:rPr>
              <w:t>批次计划编号</w:t>
            </w:r>
          </w:p>
        </w:tc>
        <w:tc>
          <w:tcPr>
            <w:tcW w:w="1985" w:type="dxa"/>
            <w:gridSpan w:val="2"/>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2459" w:type="dxa"/>
            <w:gridSpan w:val="3"/>
            <w:vAlign w:val="center"/>
          </w:tcPr>
          <w:p>
            <w:pPr>
              <w:autoSpaceDE w:val="0"/>
              <w:autoSpaceDN w:val="0"/>
              <w:adjustRightInd w:val="0"/>
              <w:spacing w:after="120" w:line="440" w:lineRule="exact"/>
              <w:jc w:val="center"/>
              <w:rPr>
                <w:rFonts w:hint="eastAsia" w:ascii="宋体" w:hAnsi="宋体" w:cs="宋体"/>
                <w:color w:val="auto"/>
                <w:sz w:val="20"/>
                <w:highlight w:val="none"/>
              </w:rPr>
            </w:pPr>
            <w:r>
              <w:rPr>
                <w:rFonts w:hint="eastAsia" w:ascii="宋体" w:hAnsi="宋体" w:cs="宋体"/>
                <w:color w:val="auto"/>
                <w:sz w:val="20"/>
                <w:highlight w:val="none"/>
              </w:rPr>
              <w:t>批次计划申报日期</w:t>
            </w:r>
          </w:p>
        </w:tc>
        <w:tc>
          <w:tcPr>
            <w:tcW w:w="1510"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3" w:type="dxa"/>
            <w:gridSpan w:val="2"/>
            <w:vAlign w:val="center"/>
          </w:tcPr>
          <w:p>
            <w:pPr>
              <w:autoSpaceDE w:val="0"/>
              <w:autoSpaceDN w:val="0"/>
              <w:adjustRightInd w:val="0"/>
              <w:spacing w:after="120" w:line="440" w:lineRule="exact"/>
              <w:jc w:val="center"/>
              <w:rPr>
                <w:rFonts w:hint="eastAsia" w:ascii="宋体" w:hAnsi="宋体" w:cs="宋体"/>
                <w:color w:val="auto"/>
                <w:sz w:val="20"/>
                <w:highlight w:val="none"/>
              </w:rPr>
            </w:pPr>
            <w:r>
              <w:rPr>
                <w:rFonts w:hint="eastAsia" w:ascii="宋体" w:hAnsi="宋体" w:cs="宋体"/>
                <w:color w:val="auto"/>
                <w:sz w:val="20"/>
                <w:highlight w:val="none"/>
              </w:rPr>
              <w:t>到货日期</w:t>
            </w:r>
          </w:p>
        </w:tc>
        <w:tc>
          <w:tcPr>
            <w:tcW w:w="1985" w:type="dxa"/>
            <w:gridSpan w:val="2"/>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2459" w:type="dxa"/>
            <w:gridSpan w:val="3"/>
            <w:vAlign w:val="center"/>
          </w:tcPr>
          <w:p>
            <w:pPr>
              <w:autoSpaceDE w:val="0"/>
              <w:autoSpaceDN w:val="0"/>
              <w:adjustRightInd w:val="0"/>
              <w:spacing w:after="120" w:line="440" w:lineRule="exact"/>
              <w:jc w:val="center"/>
              <w:rPr>
                <w:rFonts w:hint="eastAsia" w:ascii="宋体" w:hAnsi="宋体" w:cs="宋体"/>
                <w:color w:val="auto"/>
                <w:sz w:val="20"/>
                <w:highlight w:val="none"/>
              </w:rPr>
            </w:pPr>
            <w:r>
              <w:rPr>
                <w:rFonts w:hint="eastAsia" w:ascii="宋体" w:hAnsi="宋体" w:cs="宋体"/>
                <w:color w:val="auto"/>
                <w:sz w:val="20"/>
                <w:highlight w:val="none"/>
              </w:rPr>
              <w:t>检查日期</w:t>
            </w:r>
          </w:p>
        </w:tc>
        <w:tc>
          <w:tcPr>
            <w:tcW w:w="1510"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r>
              <w:rPr>
                <w:rFonts w:hint="eastAsia" w:ascii="宋体" w:hAnsi="宋体" w:cs="宋体"/>
                <w:color w:val="auto"/>
                <w:sz w:val="20"/>
                <w:highlight w:val="none"/>
                <w:u w:val="single"/>
              </w:rPr>
              <w:t>现场检查确认日期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r>
              <w:rPr>
                <w:rFonts w:hint="eastAsia" w:ascii="宋体" w:hAnsi="宋体" w:cs="宋体"/>
                <w:color w:val="auto"/>
                <w:sz w:val="20"/>
                <w:highlight w:val="none"/>
              </w:rPr>
              <w:t>序号</w:t>
            </w:r>
          </w:p>
        </w:tc>
        <w:tc>
          <w:tcPr>
            <w:tcW w:w="1418" w:type="dxa"/>
            <w:gridSpan w:val="2"/>
            <w:vAlign w:val="center"/>
          </w:tcPr>
          <w:p>
            <w:pPr>
              <w:autoSpaceDE w:val="0"/>
              <w:autoSpaceDN w:val="0"/>
              <w:adjustRightInd w:val="0"/>
              <w:spacing w:after="120" w:line="440" w:lineRule="exact"/>
              <w:jc w:val="center"/>
              <w:rPr>
                <w:rFonts w:hint="eastAsia" w:ascii="宋体" w:hAnsi="宋体" w:cs="宋体"/>
                <w:color w:val="auto"/>
                <w:sz w:val="20"/>
                <w:highlight w:val="none"/>
              </w:rPr>
            </w:pPr>
            <w:r>
              <w:rPr>
                <w:rFonts w:hint="eastAsia" w:ascii="宋体" w:hAnsi="宋体" w:cs="宋体"/>
                <w:color w:val="auto"/>
                <w:sz w:val="20"/>
                <w:highlight w:val="none"/>
              </w:rPr>
              <w:t>材料名称</w:t>
            </w:r>
          </w:p>
        </w:tc>
        <w:tc>
          <w:tcPr>
            <w:tcW w:w="1276"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r>
              <w:rPr>
                <w:rFonts w:hint="eastAsia" w:ascii="宋体" w:hAnsi="宋体" w:cs="宋体"/>
                <w:color w:val="auto"/>
                <w:sz w:val="20"/>
                <w:highlight w:val="none"/>
              </w:rPr>
              <w:t>规格型号</w:t>
            </w:r>
          </w:p>
        </w:tc>
        <w:tc>
          <w:tcPr>
            <w:tcW w:w="1134"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r>
              <w:rPr>
                <w:rFonts w:hint="eastAsia" w:ascii="宋体" w:hAnsi="宋体" w:cs="宋体"/>
                <w:color w:val="auto"/>
                <w:sz w:val="20"/>
                <w:highlight w:val="none"/>
              </w:rPr>
              <w:t>品牌</w:t>
            </w:r>
          </w:p>
        </w:tc>
        <w:tc>
          <w:tcPr>
            <w:tcW w:w="1325" w:type="dxa"/>
            <w:gridSpan w:val="2"/>
            <w:vAlign w:val="center"/>
          </w:tcPr>
          <w:p>
            <w:pPr>
              <w:autoSpaceDE w:val="0"/>
              <w:autoSpaceDN w:val="0"/>
              <w:adjustRightInd w:val="0"/>
              <w:spacing w:after="120" w:line="440" w:lineRule="exact"/>
              <w:jc w:val="center"/>
              <w:rPr>
                <w:rFonts w:hint="eastAsia" w:ascii="宋体" w:hAnsi="宋体" w:cs="宋体"/>
                <w:color w:val="auto"/>
                <w:sz w:val="20"/>
                <w:highlight w:val="none"/>
              </w:rPr>
            </w:pPr>
            <w:r>
              <w:rPr>
                <w:rFonts w:hint="eastAsia" w:ascii="宋体" w:hAnsi="宋体" w:cs="宋体"/>
                <w:color w:val="auto"/>
                <w:sz w:val="20"/>
                <w:highlight w:val="none"/>
              </w:rPr>
              <w:t>不合格数量</w:t>
            </w:r>
          </w:p>
        </w:tc>
        <w:tc>
          <w:tcPr>
            <w:tcW w:w="1510"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r>
              <w:rPr>
                <w:rFonts w:hint="eastAsia" w:ascii="宋体" w:hAnsi="宋体" w:cs="宋体"/>
                <w:color w:val="auto"/>
                <w:sz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418" w:type="dxa"/>
            <w:gridSpan w:val="2"/>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276"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134"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325" w:type="dxa"/>
            <w:gridSpan w:val="2"/>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510"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418" w:type="dxa"/>
            <w:gridSpan w:val="2"/>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276"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134"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325" w:type="dxa"/>
            <w:gridSpan w:val="2"/>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510"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418" w:type="dxa"/>
            <w:gridSpan w:val="2"/>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276"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134"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325" w:type="dxa"/>
            <w:gridSpan w:val="2"/>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510"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418" w:type="dxa"/>
            <w:gridSpan w:val="2"/>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276"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134"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325" w:type="dxa"/>
            <w:gridSpan w:val="2"/>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510"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7" w:type="dxa"/>
            <w:gridSpan w:val="8"/>
            <w:vAlign w:val="center"/>
          </w:tcPr>
          <w:p>
            <w:pPr>
              <w:autoSpaceDE w:val="0"/>
              <w:autoSpaceDN w:val="0"/>
              <w:adjustRightInd w:val="0"/>
              <w:spacing w:line="440" w:lineRule="exact"/>
              <w:rPr>
                <w:rFonts w:hint="eastAsia" w:ascii="宋体" w:hAnsi="宋体" w:cs="宋体"/>
                <w:color w:val="auto"/>
                <w:sz w:val="20"/>
                <w:highlight w:val="none"/>
              </w:rPr>
            </w:pPr>
            <w:r>
              <w:rPr>
                <w:rFonts w:hint="eastAsia" w:ascii="宋体" w:hAnsi="宋体" w:cs="宋体"/>
                <w:color w:val="auto"/>
                <w:sz w:val="20"/>
                <w:highlight w:val="none"/>
              </w:rPr>
              <w:t>处理方式：退货更换/扣款/其他</w:t>
            </w:r>
          </w:p>
          <w:p>
            <w:pPr>
              <w:autoSpaceDE w:val="0"/>
              <w:autoSpaceDN w:val="0"/>
              <w:adjustRightInd w:val="0"/>
              <w:spacing w:line="440" w:lineRule="exact"/>
              <w:rPr>
                <w:rFonts w:hint="eastAsia" w:ascii="宋体" w:hAnsi="宋体" w:cs="宋体"/>
                <w:color w:val="auto"/>
                <w:sz w:val="20"/>
                <w:highlight w:val="none"/>
              </w:rPr>
            </w:pPr>
            <w:r>
              <w:rPr>
                <w:rFonts w:hint="eastAsia" w:ascii="宋体" w:hAnsi="宋体" w:cs="宋体"/>
                <w:color w:val="auto"/>
                <w:sz w:val="20"/>
                <w:highlight w:val="none"/>
              </w:rPr>
              <w:t>详细说明：1.不合格产品的检查方式及不合格原因；</w:t>
            </w:r>
          </w:p>
          <w:p>
            <w:pPr>
              <w:autoSpaceDE w:val="0"/>
              <w:autoSpaceDN w:val="0"/>
              <w:adjustRightInd w:val="0"/>
              <w:spacing w:line="440" w:lineRule="exact"/>
              <w:ind w:firstLine="1000" w:firstLineChars="500"/>
              <w:rPr>
                <w:rFonts w:hint="eastAsia" w:ascii="宋体" w:hAnsi="宋体" w:cs="宋体"/>
                <w:color w:val="auto"/>
                <w:sz w:val="20"/>
                <w:highlight w:val="none"/>
              </w:rPr>
            </w:pPr>
            <w:r>
              <w:rPr>
                <w:rFonts w:hint="eastAsia" w:ascii="宋体" w:hAnsi="宋体" w:cs="宋体"/>
                <w:color w:val="auto"/>
                <w:sz w:val="20"/>
                <w:highlight w:val="none"/>
              </w:rPr>
              <w:t>2.若退货，明确数量和要求到货时间；</w:t>
            </w:r>
          </w:p>
          <w:p>
            <w:pPr>
              <w:autoSpaceDE w:val="0"/>
              <w:autoSpaceDN w:val="0"/>
              <w:adjustRightInd w:val="0"/>
              <w:spacing w:line="440" w:lineRule="exact"/>
              <w:ind w:firstLine="1000" w:firstLineChars="500"/>
              <w:rPr>
                <w:rFonts w:hint="eastAsia" w:ascii="宋体" w:hAnsi="宋体" w:cs="宋体"/>
                <w:color w:val="auto"/>
                <w:sz w:val="20"/>
                <w:highlight w:val="none"/>
              </w:rPr>
            </w:pPr>
            <w:r>
              <w:rPr>
                <w:rFonts w:hint="eastAsia" w:ascii="宋体" w:hAnsi="宋体" w:cs="宋体"/>
                <w:color w:val="auto"/>
                <w:sz w:val="20"/>
                <w:highlight w:val="none"/>
              </w:rPr>
              <w:t>3.若扣款，明确具体扣款金额；</w:t>
            </w:r>
          </w:p>
          <w:p>
            <w:pPr>
              <w:autoSpaceDE w:val="0"/>
              <w:autoSpaceDN w:val="0"/>
              <w:adjustRightInd w:val="0"/>
              <w:spacing w:after="120" w:line="440" w:lineRule="exact"/>
              <w:ind w:firstLine="1000" w:firstLineChars="500"/>
              <w:rPr>
                <w:rFonts w:hint="eastAsia" w:ascii="宋体" w:hAnsi="宋体" w:cs="宋体"/>
                <w:color w:val="auto"/>
                <w:sz w:val="20"/>
                <w:highlight w:val="none"/>
              </w:rPr>
            </w:pPr>
            <w:r>
              <w:rPr>
                <w:rFonts w:hint="eastAsia" w:ascii="宋体" w:hAnsi="宋体" w:cs="宋体"/>
                <w:color w:val="auto"/>
                <w:sz w:val="20"/>
                <w:highlight w:val="none"/>
              </w:rPr>
              <w:t>4.其他需说明情况。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2" w:type="dxa"/>
            <w:gridSpan w:val="3"/>
          </w:tcPr>
          <w:p>
            <w:pPr>
              <w:autoSpaceDE w:val="0"/>
              <w:autoSpaceDN w:val="0"/>
              <w:adjustRightInd w:val="0"/>
              <w:spacing w:after="120" w:line="440" w:lineRule="exact"/>
              <w:rPr>
                <w:rFonts w:hint="eastAsia" w:ascii="宋体" w:hAnsi="宋体" w:cs="宋体"/>
                <w:color w:val="auto"/>
                <w:sz w:val="20"/>
                <w:highlight w:val="none"/>
              </w:rPr>
            </w:pPr>
            <w:r>
              <w:rPr>
                <w:rFonts w:hint="eastAsia" w:ascii="宋体" w:hAnsi="宋体" w:cs="宋体"/>
                <w:color w:val="auto"/>
                <w:sz w:val="20"/>
                <w:highlight w:val="none"/>
              </w:rPr>
              <w:t>材料供应单位经办人：</w:t>
            </w:r>
          </w:p>
          <w:p>
            <w:pPr>
              <w:autoSpaceDE w:val="0"/>
              <w:autoSpaceDN w:val="0"/>
              <w:adjustRightInd w:val="0"/>
              <w:spacing w:after="120" w:line="440" w:lineRule="exact"/>
              <w:rPr>
                <w:rFonts w:hint="eastAsia" w:ascii="宋体" w:hAnsi="宋体" w:cs="宋体"/>
                <w:color w:val="auto"/>
                <w:sz w:val="20"/>
                <w:highlight w:val="none"/>
              </w:rPr>
            </w:pPr>
          </w:p>
          <w:p>
            <w:pPr>
              <w:autoSpaceDE w:val="0"/>
              <w:autoSpaceDN w:val="0"/>
              <w:adjustRightInd w:val="0"/>
              <w:spacing w:after="120" w:line="440" w:lineRule="exact"/>
              <w:rPr>
                <w:rFonts w:hint="eastAsia" w:ascii="宋体" w:hAnsi="宋体" w:cs="宋体"/>
                <w:color w:val="auto"/>
                <w:sz w:val="20"/>
                <w:highlight w:val="none"/>
              </w:rPr>
            </w:pPr>
          </w:p>
          <w:p>
            <w:pPr>
              <w:autoSpaceDE w:val="0"/>
              <w:autoSpaceDN w:val="0"/>
              <w:adjustRightInd w:val="0"/>
              <w:spacing w:after="120" w:line="440" w:lineRule="exact"/>
              <w:rPr>
                <w:rFonts w:hint="eastAsia" w:ascii="宋体" w:hAnsi="宋体" w:cs="宋体"/>
                <w:color w:val="auto"/>
                <w:sz w:val="20"/>
                <w:highlight w:val="none"/>
              </w:rPr>
            </w:pPr>
            <w:r>
              <w:rPr>
                <w:rFonts w:hint="eastAsia" w:ascii="宋体" w:hAnsi="宋体" w:cs="宋体"/>
                <w:color w:val="auto"/>
                <w:sz w:val="20"/>
                <w:highlight w:val="none"/>
              </w:rPr>
              <w:t>材料供应单位负责人：</w:t>
            </w:r>
          </w:p>
          <w:p>
            <w:pPr>
              <w:pStyle w:val="2"/>
              <w:outlineLvl w:val="9"/>
              <w:rPr>
                <w:rFonts w:hint="eastAsia"/>
                <w:color w:val="auto"/>
                <w:highlight w:val="none"/>
              </w:rPr>
            </w:pPr>
          </w:p>
          <w:p>
            <w:pPr>
              <w:autoSpaceDE w:val="0"/>
              <w:autoSpaceDN w:val="0"/>
              <w:adjustRightInd w:val="0"/>
              <w:spacing w:after="120" w:line="440" w:lineRule="exact"/>
              <w:rPr>
                <w:rFonts w:hint="eastAsia" w:ascii="宋体" w:hAnsi="宋体" w:cs="宋体"/>
                <w:color w:val="auto"/>
                <w:sz w:val="20"/>
                <w:highlight w:val="none"/>
              </w:rPr>
            </w:pPr>
            <w:r>
              <w:rPr>
                <w:rFonts w:hint="eastAsia" w:ascii="宋体" w:hAnsi="宋体" w:cs="宋体"/>
                <w:color w:val="auto"/>
                <w:sz w:val="20"/>
                <w:highlight w:val="none"/>
              </w:rPr>
              <w:t>日   期：       （盖章）</w:t>
            </w:r>
          </w:p>
        </w:tc>
        <w:tc>
          <w:tcPr>
            <w:tcW w:w="2693" w:type="dxa"/>
            <w:gridSpan w:val="3"/>
          </w:tcPr>
          <w:p>
            <w:pPr>
              <w:autoSpaceDE w:val="0"/>
              <w:autoSpaceDN w:val="0"/>
              <w:adjustRightInd w:val="0"/>
              <w:spacing w:after="120" w:line="440" w:lineRule="exact"/>
              <w:rPr>
                <w:rFonts w:hint="eastAsia" w:ascii="宋体" w:hAnsi="宋体" w:cs="宋体"/>
                <w:color w:val="auto"/>
                <w:sz w:val="20"/>
                <w:highlight w:val="none"/>
              </w:rPr>
            </w:pPr>
            <w:r>
              <w:rPr>
                <w:rFonts w:hint="eastAsia" w:ascii="宋体" w:hAnsi="宋体" w:cs="宋体"/>
                <w:color w:val="auto"/>
                <w:sz w:val="20"/>
                <w:highlight w:val="none"/>
              </w:rPr>
              <w:t>分包单位物资负责人：</w:t>
            </w:r>
          </w:p>
          <w:p>
            <w:pPr>
              <w:autoSpaceDE w:val="0"/>
              <w:autoSpaceDN w:val="0"/>
              <w:adjustRightInd w:val="0"/>
              <w:spacing w:after="120" w:line="440" w:lineRule="exact"/>
              <w:rPr>
                <w:rFonts w:hint="eastAsia" w:ascii="宋体" w:hAnsi="宋体" w:cs="宋体"/>
                <w:color w:val="auto"/>
                <w:sz w:val="20"/>
                <w:highlight w:val="none"/>
              </w:rPr>
            </w:pPr>
          </w:p>
          <w:p>
            <w:pPr>
              <w:autoSpaceDE w:val="0"/>
              <w:autoSpaceDN w:val="0"/>
              <w:adjustRightInd w:val="0"/>
              <w:spacing w:after="120" w:line="440" w:lineRule="exact"/>
              <w:rPr>
                <w:rFonts w:hint="eastAsia" w:ascii="宋体" w:hAnsi="宋体" w:cs="宋体"/>
                <w:color w:val="auto"/>
                <w:sz w:val="20"/>
                <w:highlight w:val="none"/>
              </w:rPr>
            </w:pPr>
          </w:p>
          <w:p>
            <w:pPr>
              <w:autoSpaceDE w:val="0"/>
              <w:autoSpaceDN w:val="0"/>
              <w:adjustRightInd w:val="0"/>
              <w:spacing w:after="120" w:line="440" w:lineRule="exact"/>
              <w:rPr>
                <w:rFonts w:hint="eastAsia" w:ascii="宋体" w:hAnsi="宋体" w:cs="宋体"/>
                <w:color w:val="auto"/>
                <w:sz w:val="20"/>
                <w:highlight w:val="none"/>
              </w:rPr>
            </w:pPr>
            <w:r>
              <w:rPr>
                <w:rFonts w:hint="eastAsia" w:ascii="宋体" w:hAnsi="宋体" w:cs="宋体"/>
                <w:color w:val="auto"/>
                <w:sz w:val="20"/>
                <w:highlight w:val="none"/>
              </w:rPr>
              <w:t>分包单位负责人：</w:t>
            </w:r>
          </w:p>
          <w:p>
            <w:pPr>
              <w:autoSpaceDE w:val="0"/>
              <w:autoSpaceDN w:val="0"/>
              <w:adjustRightInd w:val="0"/>
              <w:spacing w:after="120" w:line="440" w:lineRule="exact"/>
              <w:rPr>
                <w:rFonts w:hint="eastAsia" w:ascii="宋体" w:hAnsi="宋体" w:cs="宋体"/>
                <w:color w:val="auto"/>
                <w:sz w:val="20"/>
                <w:highlight w:val="none"/>
              </w:rPr>
            </w:pPr>
          </w:p>
          <w:p>
            <w:pPr>
              <w:autoSpaceDE w:val="0"/>
              <w:autoSpaceDN w:val="0"/>
              <w:adjustRightInd w:val="0"/>
              <w:spacing w:after="120" w:line="440" w:lineRule="exact"/>
              <w:rPr>
                <w:rFonts w:hint="eastAsia" w:ascii="宋体" w:hAnsi="宋体" w:cs="宋体"/>
                <w:color w:val="auto"/>
                <w:sz w:val="20"/>
                <w:highlight w:val="none"/>
              </w:rPr>
            </w:pPr>
          </w:p>
          <w:p>
            <w:pPr>
              <w:autoSpaceDE w:val="0"/>
              <w:autoSpaceDN w:val="0"/>
              <w:adjustRightInd w:val="0"/>
              <w:spacing w:after="120" w:line="440" w:lineRule="exact"/>
              <w:rPr>
                <w:rFonts w:hint="eastAsia" w:ascii="宋体" w:hAnsi="宋体" w:cs="宋体"/>
                <w:color w:val="auto"/>
                <w:sz w:val="20"/>
                <w:highlight w:val="none"/>
              </w:rPr>
            </w:pPr>
            <w:r>
              <w:rPr>
                <w:rFonts w:hint="eastAsia" w:ascii="宋体" w:hAnsi="宋体" w:cs="宋体"/>
                <w:color w:val="auto"/>
                <w:sz w:val="20"/>
                <w:highlight w:val="none"/>
              </w:rPr>
              <w:t>日   期：        （盖章）</w:t>
            </w:r>
          </w:p>
        </w:tc>
        <w:tc>
          <w:tcPr>
            <w:tcW w:w="2552" w:type="dxa"/>
            <w:gridSpan w:val="2"/>
            <w:vAlign w:val="center"/>
          </w:tcPr>
          <w:p>
            <w:pPr>
              <w:autoSpaceDE w:val="0"/>
              <w:autoSpaceDN w:val="0"/>
              <w:adjustRightInd w:val="0"/>
              <w:spacing w:after="120" w:line="440" w:lineRule="exact"/>
              <w:rPr>
                <w:rFonts w:hint="eastAsia" w:ascii="宋体" w:hAnsi="宋体" w:cs="宋体"/>
                <w:color w:val="auto"/>
                <w:sz w:val="20"/>
                <w:highlight w:val="none"/>
              </w:rPr>
            </w:pPr>
            <w:r>
              <w:rPr>
                <w:rFonts w:hint="eastAsia" w:ascii="宋体" w:hAnsi="宋体" w:cs="宋体"/>
                <w:color w:val="auto"/>
                <w:sz w:val="20"/>
                <w:highlight w:val="none"/>
              </w:rPr>
              <w:t>项目物资部负责人：</w:t>
            </w:r>
          </w:p>
          <w:p>
            <w:pPr>
              <w:autoSpaceDE w:val="0"/>
              <w:autoSpaceDN w:val="0"/>
              <w:adjustRightInd w:val="0"/>
              <w:spacing w:after="120" w:line="440" w:lineRule="exact"/>
              <w:rPr>
                <w:rFonts w:hint="eastAsia" w:ascii="宋体" w:hAnsi="宋体" w:cs="宋体"/>
                <w:color w:val="auto"/>
                <w:sz w:val="20"/>
                <w:highlight w:val="none"/>
              </w:rPr>
            </w:pPr>
          </w:p>
          <w:p>
            <w:pPr>
              <w:autoSpaceDE w:val="0"/>
              <w:autoSpaceDN w:val="0"/>
              <w:adjustRightInd w:val="0"/>
              <w:spacing w:after="120" w:line="440" w:lineRule="exact"/>
              <w:rPr>
                <w:rFonts w:hint="eastAsia" w:ascii="宋体" w:hAnsi="宋体" w:cs="宋体"/>
                <w:color w:val="auto"/>
                <w:sz w:val="20"/>
                <w:highlight w:val="none"/>
              </w:rPr>
            </w:pPr>
            <w:r>
              <w:rPr>
                <w:rFonts w:hint="eastAsia" w:ascii="宋体" w:hAnsi="宋体" w:cs="宋体"/>
                <w:color w:val="auto"/>
                <w:sz w:val="20"/>
                <w:highlight w:val="none"/>
              </w:rPr>
              <w:t>项目技术部负责人：</w:t>
            </w:r>
          </w:p>
          <w:p>
            <w:pPr>
              <w:autoSpaceDE w:val="0"/>
              <w:autoSpaceDN w:val="0"/>
              <w:adjustRightInd w:val="0"/>
              <w:spacing w:after="120" w:line="440" w:lineRule="exact"/>
              <w:rPr>
                <w:rFonts w:hint="eastAsia" w:ascii="宋体" w:hAnsi="宋体" w:cs="宋体"/>
                <w:color w:val="auto"/>
                <w:sz w:val="20"/>
                <w:highlight w:val="none"/>
              </w:rPr>
            </w:pPr>
          </w:p>
          <w:p>
            <w:pPr>
              <w:autoSpaceDE w:val="0"/>
              <w:autoSpaceDN w:val="0"/>
              <w:adjustRightInd w:val="0"/>
              <w:spacing w:after="120" w:line="440" w:lineRule="exact"/>
              <w:rPr>
                <w:rFonts w:hint="eastAsia" w:ascii="宋体" w:hAnsi="宋体" w:cs="宋体"/>
                <w:color w:val="auto"/>
                <w:sz w:val="20"/>
                <w:highlight w:val="none"/>
              </w:rPr>
            </w:pPr>
            <w:r>
              <w:rPr>
                <w:rFonts w:hint="eastAsia" w:ascii="宋体" w:hAnsi="宋体" w:cs="宋体"/>
                <w:color w:val="auto"/>
                <w:sz w:val="20"/>
                <w:highlight w:val="none"/>
              </w:rPr>
              <w:t>项目经理：</w:t>
            </w:r>
          </w:p>
          <w:p>
            <w:pPr>
              <w:autoSpaceDE w:val="0"/>
              <w:autoSpaceDN w:val="0"/>
              <w:adjustRightInd w:val="0"/>
              <w:spacing w:after="120" w:line="440" w:lineRule="exact"/>
              <w:rPr>
                <w:rFonts w:hint="eastAsia" w:ascii="宋体" w:hAnsi="宋体" w:cs="宋体"/>
                <w:color w:val="auto"/>
                <w:sz w:val="20"/>
                <w:highlight w:val="none"/>
              </w:rPr>
            </w:pPr>
          </w:p>
          <w:p>
            <w:pPr>
              <w:autoSpaceDE w:val="0"/>
              <w:autoSpaceDN w:val="0"/>
              <w:adjustRightInd w:val="0"/>
              <w:spacing w:after="120" w:line="440" w:lineRule="exact"/>
              <w:rPr>
                <w:rFonts w:hint="eastAsia" w:ascii="宋体" w:hAnsi="宋体" w:cs="宋体"/>
                <w:color w:val="auto"/>
                <w:sz w:val="20"/>
                <w:highlight w:val="none"/>
              </w:rPr>
            </w:pPr>
            <w:r>
              <w:rPr>
                <w:rFonts w:hint="eastAsia" w:ascii="宋体" w:hAnsi="宋体" w:cs="宋体"/>
                <w:color w:val="auto"/>
                <w:sz w:val="20"/>
                <w:highlight w:val="none"/>
              </w:rPr>
              <w:t>日   期：        （盖章）</w:t>
            </w:r>
          </w:p>
        </w:tc>
      </w:tr>
    </w:tbl>
    <w:p>
      <w:pPr>
        <w:pStyle w:val="4"/>
        <w:spacing w:before="0" w:after="0" w:line="360" w:lineRule="auto"/>
        <w:jc w:val="center"/>
        <w:outlineLvl w:val="1"/>
        <w:rPr>
          <w:rFonts w:hint="eastAsia" w:ascii="宋体" w:hAnsi="宋体" w:eastAsia="宋体"/>
          <w:b/>
          <w:bCs/>
          <w:color w:val="auto"/>
          <w:kern w:val="44"/>
          <w:sz w:val="32"/>
          <w:szCs w:val="32"/>
          <w:highlight w:val="none"/>
          <w:lang w:val="en-US" w:eastAsia="zh-CN" w:bidi="ar-SA"/>
        </w:rPr>
      </w:pPr>
      <w:bookmarkStart w:id="262" w:name="_Toc13203"/>
      <w:bookmarkStart w:id="263" w:name="_Toc28866"/>
      <w:r>
        <w:rPr>
          <w:rFonts w:hint="eastAsia" w:ascii="宋体" w:hAnsi="宋体" w:eastAsia="宋体"/>
          <w:b/>
          <w:bCs/>
          <w:color w:val="auto"/>
          <w:kern w:val="44"/>
          <w:sz w:val="32"/>
          <w:szCs w:val="32"/>
          <w:highlight w:val="none"/>
          <w:lang w:val="en-US" w:eastAsia="zh-CN" w:bidi="ar-SA"/>
        </w:rPr>
        <w:t>第二章 特定要求</w:t>
      </w:r>
      <w:bookmarkEnd w:id="262"/>
      <w:bookmarkEnd w:id="263"/>
    </w:p>
    <w:p>
      <w:pPr>
        <w:pStyle w:val="5"/>
        <w:keepNext/>
        <w:keepLines/>
        <w:pageBreakBefore w:val="0"/>
        <w:widowControl w:val="0"/>
        <w:kinsoku/>
        <w:wordWrap/>
        <w:overflowPunct/>
        <w:topLinePunct w:val="0"/>
        <w:autoSpaceDE/>
        <w:autoSpaceDN/>
        <w:bidi w:val="0"/>
        <w:adjustRightInd/>
        <w:snapToGrid/>
        <w:spacing w:before="0" w:after="0" w:line="360" w:lineRule="auto"/>
        <w:ind w:right="-504" w:rightChars="-240"/>
        <w:jc w:val="center"/>
        <w:textAlignment w:val="auto"/>
        <w:rPr>
          <w:rFonts w:hint="eastAsia" w:ascii="宋体" w:hAnsi="宋体" w:cs="宋体"/>
          <w:b/>
          <w:bCs/>
          <w:color w:val="auto"/>
          <w:kern w:val="2"/>
          <w:sz w:val="28"/>
          <w:szCs w:val="28"/>
          <w:highlight w:val="none"/>
          <w:lang w:val="en-US" w:eastAsia="zh-CN" w:bidi="ar-SA"/>
        </w:rPr>
      </w:pPr>
      <w:bookmarkStart w:id="264" w:name="_Toc21415"/>
      <w:bookmarkStart w:id="265" w:name="_Toc9415"/>
      <w:r>
        <w:rPr>
          <w:rFonts w:hint="eastAsia" w:ascii="宋体" w:hAnsi="宋体" w:cs="宋体"/>
          <w:b/>
          <w:bCs/>
          <w:color w:val="auto"/>
          <w:kern w:val="2"/>
          <w:sz w:val="28"/>
          <w:szCs w:val="28"/>
          <w:highlight w:val="none"/>
          <w:lang w:val="en-US" w:eastAsia="zh-CN" w:bidi="ar-SA"/>
        </w:rPr>
        <w:t>第一节 安全管理相关要求</w:t>
      </w:r>
      <w:bookmarkEnd w:id="264"/>
      <w:bookmarkEnd w:id="265"/>
    </w:p>
    <w:p>
      <w:pPr>
        <w:pStyle w:val="30"/>
        <w:spacing w:before="0" w:line="360" w:lineRule="auto"/>
        <w:ind w:firstLine="482" w:firstLineChars="200"/>
        <w:outlineLvl w:val="5"/>
        <w:rPr>
          <w:rFonts w:hint="eastAsia" w:ascii="宋体" w:hAnsi="宋体" w:eastAsia="宋体"/>
          <w:b/>
          <w:bCs w:val="0"/>
          <w:color w:val="auto"/>
          <w:sz w:val="24"/>
          <w:szCs w:val="24"/>
          <w:highlight w:val="none"/>
          <w:lang w:val="en-US" w:eastAsia="zh-CN"/>
        </w:rPr>
      </w:pPr>
      <w:bookmarkStart w:id="266" w:name="_Toc18158"/>
      <w:bookmarkStart w:id="267" w:name="_Toc31363"/>
      <w:r>
        <w:rPr>
          <w:rFonts w:hint="eastAsia" w:ascii="宋体" w:hAnsi="宋体" w:eastAsia="宋体"/>
          <w:b/>
          <w:bCs w:val="0"/>
          <w:color w:val="auto"/>
          <w:sz w:val="24"/>
          <w:szCs w:val="24"/>
          <w:highlight w:val="none"/>
          <w:lang w:val="en-US" w:eastAsia="zh-CN"/>
        </w:rPr>
        <w:t>1.安全生产风险管理要求</w:t>
      </w:r>
      <w:bookmarkEnd w:id="266"/>
      <w:bookmarkEnd w:id="267"/>
    </w:p>
    <w:p>
      <w:pPr>
        <w:bidi w:val="0"/>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 xml:space="preserve">                                                                                        </w:t>
      </w:r>
    </w:p>
    <w:p>
      <w:pPr>
        <w:pStyle w:val="30"/>
        <w:spacing w:before="0" w:line="360" w:lineRule="auto"/>
        <w:ind w:firstLine="482" w:firstLineChars="200"/>
        <w:outlineLvl w:val="5"/>
        <w:rPr>
          <w:rFonts w:hint="eastAsia" w:ascii="宋体" w:hAnsi="宋体" w:eastAsia="宋体"/>
          <w:b/>
          <w:bCs w:val="0"/>
          <w:color w:val="auto"/>
          <w:sz w:val="24"/>
          <w:szCs w:val="24"/>
          <w:highlight w:val="none"/>
          <w:lang w:val="en-US" w:eastAsia="zh-CN"/>
        </w:rPr>
      </w:pPr>
      <w:bookmarkStart w:id="268" w:name="_Toc8835"/>
      <w:bookmarkStart w:id="269" w:name="_Toc5270"/>
      <w:r>
        <w:rPr>
          <w:rFonts w:hint="eastAsia" w:ascii="宋体" w:hAnsi="宋体" w:eastAsia="宋体"/>
          <w:b/>
          <w:bCs w:val="0"/>
          <w:color w:val="auto"/>
          <w:sz w:val="24"/>
          <w:szCs w:val="24"/>
          <w:highlight w:val="none"/>
          <w:lang w:val="en-US" w:eastAsia="zh-CN"/>
        </w:rPr>
        <w:t>2.生产作业区域消防及森林防火安全管理要求</w:t>
      </w:r>
      <w:bookmarkEnd w:id="268"/>
      <w:bookmarkEnd w:id="269"/>
    </w:p>
    <w:p>
      <w:pPr>
        <w:bidi w:val="0"/>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 xml:space="preserve">                                                                                        </w:t>
      </w:r>
    </w:p>
    <w:p>
      <w:pPr>
        <w:pStyle w:val="30"/>
        <w:spacing w:before="0" w:line="360" w:lineRule="auto"/>
        <w:ind w:firstLine="482" w:firstLineChars="200"/>
        <w:outlineLvl w:val="5"/>
        <w:rPr>
          <w:rFonts w:hint="eastAsia" w:ascii="宋体" w:hAnsi="宋体" w:eastAsia="宋体"/>
          <w:b/>
          <w:bCs w:val="0"/>
          <w:color w:val="auto"/>
          <w:sz w:val="24"/>
          <w:szCs w:val="24"/>
          <w:highlight w:val="none"/>
          <w:lang w:val="en-US" w:eastAsia="zh-CN"/>
        </w:rPr>
      </w:pPr>
      <w:bookmarkStart w:id="270" w:name="_Toc5016"/>
      <w:bookmarkStart w:id="271" w:name="_Toc28311"/>
      <w:r>
        <w:rPr>
          <w:rFonts w:hint="eastAsia" w:ascii="宋体" w:hAnsi="宋体" w:eastAsia="宋体"/>
          <w:b/>
          <w:bCs w:val="0"/>
          <w:color w:val="auto"/>
          <w:sz w:val="24"/>
          <w:szCs w:val="24"/>
          <w:highlight w:val="none"/>
          <w:lang w:val="en-US" w:eastAsia="zh-CN"/>
        </w:rPr>
        <w:t>3.特殊天气施工安全管理要求</w:t>
      </w:r>
      <w:bookmarkEnd w:id="270"/>
      <w:bookmarkEnd w:id="271"/>
    </w:p>
    <w:p>
      <w:pPr>
        <w:bidi w:val="0"/>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 xml:space="preserve">                                                                                        </w:t>
      </w:r>
    </w:p>
    <w:p>
      <w:pPr>
        <w:pStyle w:val="30"/>
        <w:spacing w:before="0" w:line="360" w:lineRule="auto"/>
        <w:ind w:firstLine="482" w:firstLineChars="200"/>
        <w:outlineLvl w:val="5"/>
        <w:rPr>
          <w:rFonts w:hint="eastAsia" w:ascii="宋体" w:hAnsi="宋体" w:eastAsia="宋体"/>
          <w:b/>
          <w:bCs w:val="0"/>
          <w:color w:val="auto"/>
          <w:sz w:val="24"/>
          <w:szCs w:val="24"/>
          <w:highlight w:val="none"/>
          <w:lang w:val="en-US" w:eastAsia="zh-CN"/>
        </w:rPr>
      </w:pPr>
      <w:bookmarkStart w:id="272" w:name="_Toc11095"/>
      <w:bookmarkStart w:id="273" w:name="_Toc8692"/>
      <w:r>
        <w:rPr>
          <w:rFonts w:hint="eastAsia" w:ascii="宋体" w:hAnsi="宋体" w:eastAsia="宋体"/>
          <w:b/>
          <w:bCs w:val="0"/>
          <w:color w:val="auto"/>
          <w:sz w:val="24"/>
          <w:szCs w:val="24"/>
          <w:highlight w:val="none"/>
          <w:lang w:val="en-US" w:eastAsia="zh-CN"/>
        </w:rPr>
        <w:t>4.职业健康管理工作要求</w:t>
      </w:r>
      <w:bookmarkEnd w:id="272"/>
      <w:bookmarkEnd w:id="273"/>
    </w:p>
    <w:p>
      <w:pPr>
        <w:bidi w:val="0"/>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 xml:space="preserve">                                                                                        </w:t>
      </w:r>
    </w:p>
    <w:p>
      <w:pPr>
        <w:pStyle w:val="2"/>
        <w:spacing w:before="0" w:after="0" w:line="360" w:lineRule="auto"/>
        <w:jc w:val="center"/>
        <w:rPr>
          <w:rFonts w:hint="eastAsia" w:ascii="宋体" w:hAnsi="宋体" w:eastAsia="宋体"/>
          <w:b/>
          <w:bCs/>
          <w:color w:val="auto"/>
          <w:kern w:val="44"/>
          <w:sz w:val="32"/>
          <w:szCs w:val="32"/>
          <w:highlight w:val="none"/>
          <w:lang w:val="en-US" w:eastAsia="zh-CN" w:bidi="ar-SA"/>
        </w:rPr>
      </w:pPr>
      <w:bookmarkStart w:id="274" w:name="_Toc13592"/>
      <w:bookmarkStart w:id="275" w:name="_Toc20608"/>
      <w:r>
        <w:rPr>
          <w:rFonts w:hint="eastAsia" w:ascii="宋体" w:hAnsi="宋体" w:eastAsia="宋体"/>
          <w:b/>
          <w:bCs/>
          <w:color w:val="auto"/>
          <w:kern w:val="44"/>
          <w:sz w:val="32"/>
          <w:szCs w:val="32"/>
          <w:highlight w:val="none"/>
          <w:lang w:val="en-US" w:eastAsia="zh-CN" w:bidi="ar-SA"/>
        </w:rPr>
        <w:t>第二节 分包工程施工组织设计编制基本要求</w:t>
      </w:r>
      <w:bookmarkEnd w:id="274"/>
      <w:bookmarkEnd w:id="275"/>
    </w:p>
    <w:p>
      <w:pPr>
        <w:bidi w:val="0"/>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 xml:space="preserve">                                                                                        </w:t>
      </w:r>
    </w:p>
    <w:p>
      <w:pPr>
        <w:numPr>
          <w:ilvl w:val="0"/>
          <w:numId w:val="0"/>
        </w:numPr>
        <w:bidi w:val="0"/>
        <w:jc w:val="center"/>
        <w:rPr>
          <w:rFonts w:hint="eastAsia" w:ascii="宋体" w:hAnsi="宋体"/>
          <w:b/>
          <w:bCs/>
          <w:color w:val="auto"/>
          <w:sz w:val="28"/>
          <w:szCs w:val="28"/>
          <w:highlight w:val="none"/>
          <w:lang w:val="en-US" w:eastAsia="zh-CN"/>
        </w:rPr>
      </w:pPr>
      <w:r>
        <w:rPr>
          <w:rFonts w:hint="eastAsia" w:ascii="宋体" w:hAnsi="宋体"/>
          <w:b/>
          <w:bCs/>
          <w:color w:val="auto"/>
          <w:sz w:val="28"/>
          <w:szCs w:val="28"/>
          <w:highlight w:val="none"/>
          <w:lang w:val="en-US" w:eastAsia="zh-CN"/>
        </w:rPr>
        <w:t>第三节 合同结算管理要求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lang w:val="en-US" w:eastAsia="zh-CN"/>
        </w:rPr>
        <w:t>二、</w:t>
      </w:r>
      <w:r>
        <w:rPr>
          <w:rFonts w:hint="eastAsia" w:ascii="宋体" w:hAnsi="宋体"/>
          <w:b/>
          <w:bCs/>
          <w:color w:val="auto"/>
          <w:szCs w:val="21"/>
          <w:highlight w:val="none"/>
        </w:rPr>
        <w:t>结算书的上报及接收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结算书上报时间要求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1.1过程结算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
          <w:color w:val="auto"/>
          <w:sz w:val="21"/>
          <w:szCs w:val="21"/>
          <w:highlight w:val="none"/>
          <w:lang w:val="en-US" w:eastAsia="zh-CN"/>
        </w:rPr>
      </w:pPr>
      <w:r>
        <w:rPr>
          <w:rFonts w:hint="eastAsia" w:ascii="宋体" w:hAnsi="宋体"/>
          <w:color w:val="auto"/>
          <w:szCs w:val="21"/>
          <w:highlight w:val="none"/>
        </w:rPr>
        <w:t>专业分包合同应按月办理过程结算，专业分包人应于每月</w:t>
      </w:r>
      <w:r>
        <w:rPr>
          <w:rFonts w:hint="eastAsia" w:ascii="宋体" w:hAnsi="宋体"/>
          <w:color w:val="auto"/>
          <w:szCs w:val="21"/>
          <w:highlight w:val="none"/>
          <w:u w:val="single"/>
          <w:lang w:val="en-US" w:eastAsia="zh-CN"/>
        </w:rPr>
        <w:t xml:space="preserve">  20  </w:t>
      </w:r>
      <w:r>
        <w:rPr>
          <w:rFonts w:hint="eastAsia" w:ascii="宋体" w:hAnsi="宋体"/>
          <w:color w:val="auto"/>
          <w:szCs w:val="21"/>
          <w:highlight w:val="none"/>
        </w:rPr>
        <w:t>日前向工程承包人报送当月结算申请并附详细的支撑资料，结算周期为上月21日至本月20日。</w:t>
      </w:r>
    </w:p>
    <w:p>
      <w:pPr>
        <w:numPr>
          <w:ilvl w:val="0"/>
          <w:numId w:val="0"/>
        </w:numPr>
        <w:bidi w:val="0"/>
        <w:ind w:leftChars="0"/>
        <w:jc w:val="center"/>
        <w:rPr>
          <w:rFonts w:hint="eastAsia" w:ascii="宋体" w:hAnsi="宋体"/>
          <w:b/>
          <w:bCs/>
          <w:color w:val="auto"/>
          <w:sz w:val="28"/>
          <w:szCs w:val="28"/>
          <w:highlight w:val="none"/>
          <w:lang w:val="en-US" w:eastAsia="zh-CN"/>
        </w:rPr>
      </w:pPr>
      <w:r>
        <w:rPr>
          <w:rFonts w:hint="eastAsia" w:ascii="宋体" w:hAnsi="宋体"/>
          <w:b/>
          <w:bCs/>
          <w:color w:val="auto"/>
          <w:sz w:val="28"/>
          <w:szCs w:val="28"/>
          <w:highlight w:val="none"/>
          <w:lang w:val="en-US" w:eastAsia="zh-CN"/>
        </w:rPr>
        <w:t>第四节 合同签证管理要求</w:t>
      </w:r>
    </w:p>
    <w:p>
      <w:pPr>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lang w:val="en-US" w:eastAsia="zh-CN"/>
        </w:rPr>
        <w:t>一、</w:t>
      </w:r>
      <w:r>
        <w:rPr>
          <w:rFonts w:hint="eastAsia" w:ascii="宋体" w:hAnsi="宋体"/>
          <w:b/>
          <w:bCs/>
          <w:color w:val="auto"/>
          <w:szCs w:val="21"/>
          <w:highlight w:val="none"/>
        </w:rPr>
        <w:t>合同签证管理规定</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w:t>
      </w:r>
      <w:r>
        <w:rPr>
          <w:rFonts w:hint="eastAsia" w:ascii="宋体" w:hAnsi="宋体"/>
          <w:color w:val="auto"/>
          <w:szCs w:val="21"/>
          <w:highlight w:val="none"/>
        </w:rPr>
        <w:t>在签证实施过程中，专业分包人必须通知工程承包人项目部，同时填报现场签证原始记录表。现场签证内容完工并验收合格后</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 </w:t>
      </w:r>
      <w:r>
        <w:rPr>
          <w:rFonts w:hint="eastAsia" w:ascii="宋体" w:hAnsi="宋体"/>
          <w:color w:val="auto"/>
          <w:szCs w:val="21"/>
          <w:highlight w:val="none"/>
          <w:u w:val="single"/>
        </w:rPr>
        <w:t xml:space="preserve"> </w:t>
      </w:r>
      <w:r>
        <w:rPr>
          <w:rFonts w:hint="eastAsia" w:ascii="宋体" w:hAnsi="宋体"/>
          <w:color w:val="auto"/>
          <w:szCs w:val="21"/>
          <w:highlight w:val="none"/>
        </w:rPr>
        <w:t>个工作日内，专业分包人必须将完整的签证资料上报工程承包人项目部，需向发包人提交的签证资料，由工程承包人统一办理。专业分包人超过规定时限补签的签证单无效，工程承包人将不再受理。</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签证的估价金额超过原合同总价（含暂定总价）的</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%且大于</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元，或金额超过</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元时应签订补充协议或合同，不能以现场签证形式结算。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 w:val="21"/>
          <w:szCs w:val="21"/>
          <w:highlight w:val="none"/>
        </w:rPr>
        <w:t>合同外新增工程，</w:t>
      </w:r>
      <w:r>
        <w:rPr>
          <w:rFonts w:hint="eastAsia" w:ascii="宋体" w:hAnsi="宋体" w:eastAsia="宋体"/>
          <w:color w:val="auto"/>
          <w:sz w:val="21"/>
          <w:szCs w:val="21"/>
          <w:highlight w:val="none"/>
          <w:lang w:val="en-US" w:eastAsia="zh-CN"/>
        </w:rPr>
        <w:t>原则上不允许办理现场签证。当合同外新增工程估价金额超过原合同总价（含暂定总价）的</w:t>
      </w:r>
      <w:r>
        <w:rPr>
          <w:rFonts w:hint="eastAsia" w:ascii="宋体" w:hAnsi="宋体" w:eastAsia="宋体"/>
          <w:color w:val="auto"/>
          <w:sz w:val="21"/>
          <w:szCs w:val="21"/>
          <w:highlight w:val="none"/>
          <w:u w:val="single"/>
          <w:lang w:val="en-US" w:eastAsia="zh-CN"/>
        </w:rPr>
        <w:t xml:space="preserve">   </w:t>
      </w:r>
      <w:r>
        <w:rPr>
          <w:rFonts w:hint="eastAsia" w:ascii="宋体" w:hAnsi="宋体"/>
          <w:color w:val="auto"/>
          <w:sz w:val="21"/>
          <w:szCs w:val="21"/>
          <w:highlight w:val="none"/>
          <w:u w:val="single"/>
          <w:lang w:val="en-US" w:eastAsia="zh-CN"/>
        </w:rPr>
        <w:t>/</w:t>
      </w:r>
      <w:r>
        <w:rPr>
          <w:rFonts w:hint="eastAsia"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u w:val="none"/>
          <w:lang w:val="en-US" w:eastAsia="zh-CN"/>
        </w:rPr>
        <w:t>%且</w:t>
      </w:r>
      <w:r>
        <w:rPr>
          <w:rFonts w:hint="eastAsia" w:ascii="宋体" w:hAnsi="宋体" w:eastAsia="宋体"/>
          <w:color w:val="auto"/>
          <w:sz w:val="21"/>
          <w:szCs w:val="21"/>
          <w:highlight w:val="none"/>
          <w:lang w:val="en-US" w:eastAsia="zh-CN"/>
        </w:rPr>
        <w:t>大于</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元</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或金额超过</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元</w:t>
      </w:r>
      <w:r>
        <w:rPr>
          <w:rFonts w:hint="eastAsia" w:ascii="宋体" w:hAnsi="宋体" w:eastAsia="宋体"/>
          <w:color w:val="auto"/>
          <w:sz w:val="21"/>
          <w:szCs w:val="21"/>
          <w:highlight w:val="none"/>
          <w:lang w:val="en-US" w:eastAsia="zh-CN"/>
        </w:rPr>
        <w:t>时，</w:t>
      </w:r>
      <w:r>
        <w:rPr>
          <w:rFonts w:hint="eastAsia" w:ascii="宋体" w:hAnsi="宋体"/>
          <w:color w:val="auto"/>
          <w:sz w:val="21"/>
          <w:szCs w:val="21"/>
          <w:highlight w:val="none"/>
        </w:rPr>
        <w:t>应另行签订补充协议或按相关规定通过招投标的方式确定单位。</w:t>
      </w:r>
      <w:r>
        <w:rPr>
          <w:rFonts w:hint="eastAsia" w:ascii="宋体" w:hAnsi="宋体"/>
          <w:color w:val="auto"/>
          <w:szCs w:val="21"/>
          <w:highlight w:val="none"/>
        </w:rPr>
        <w:t>如：新增装修范围工程</w:t>
      </w:r>
      <w:r>
        <w:rPr>
          <w:rFonts w:hint="eastAsia" w:ascii="宋体" w:hAnsi="宋体"/>
          <w:color w:val="auto"/>
          <w:szCs w:val="21"/>
          <w:highlight w:val="none"/>
          <w:lang w:val="en-US" w:eastAsia="zh-CN"/>
        </w:rPr>
        <w:t>等</w:t>
      </w:r>
      <w:r>
        <w:rPr>
          <w:rFonts w:hint="eastAsia" w:ascii="宋体" w:hAnsi="宋体"/>
          <w:color w:val="auto"/>
          <w:szCs w:val="21"/>
          <w:highlight w:val="none"/>
        </w:rPr>
        <w:t xml:space="preserve">。 </w:t>
      </w:r>
    </w:p>
    <w:p>
      <w:pPr>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lang w:val="en-US" w:eastAsia="zh-CN"/>
        </w:rPr>
        <w:t>二、</w:t>
      </w:r>
      <w:r>
        <w:rPr>
          <w:rFonts w:hint="eastAsia" w:ascii="宋体" w:hAnsi="宋体"/>
          <w:b/>
          <w:bCs/>
          <w:color w:val="auto"/>
          <w:szCs w:val="21"/>
          <w:highlight w:val="none"/>
        </w:rPr>
        <w:t>现场签证单的签署流程及说明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现场签证单的签署流程：现场签证内容完工并验收合格后</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 </w:t>
      </w:r>
      <w:r>
        <w:rPr>
          <w:rFonts w:hint="eastAsia" w:ascii="宋体" w:hAnsi="宋体"/>
          <w:color w:val="auto"/>
          <w:szCs w:val="21"/>
          <w:highlight w:val="none"/>
          <w:u w:val="single"/>
        </w:rPr>
        <w:t xml:space="preserve"> </w:t>
      </w:r>
      <w:r>
        <w:rPr>
          <w:rFonts w:hint="eastAsia" w:ascii="宋体" w:hAnsi="宋体"/>
          <w:color w:val="auto"/>
          <w:szCs w:val="21"/>
          <w:highlight w:val="none"/>
        </w:rPr>
        <w:t>个工作日内由专业分包人负责人计算工程量并填报签证资料→项目工程部复核工程量并签字→项目技术部复核工程量并签字→项目成本部复核工程量及单价并签字→项目经理审核并签字→直管部主任经济师、经理审核并签字→公司分包主管部门审核并签字→公司总经济师审核并签字→公司总经理审核并签字（单项签证工程的估价在</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元以下的由项目部确认即可；</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元以上</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元以下的由项目部、直管部确认即可；</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元以上</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元以下由公司总经济师审批；</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元以上由公司总经理审批）。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b/>
          <w:color w:val="auto"/>
          <w:sz w:val="21"/>
          <w:szCs w:val="21"/>
          <w:highlight w:val="none"/>
          <w:lang w:val="en-US" w:eastAsia="zh-CN"/>
        </w:rPr>
      </w:pPr>
      <w:r>
        <w:rPr>
          <w:rFonts w:hint="eastAsia" w:ascii="宋体" w:hAnsi="宋体"/>
          <w:color w:val="auto"/>
          <w:szCs w:val="21"/>
          <w:highlight w:val="none"/>
        </w:rPr>
        <w:t>4.3对</w:t>
      </w:r>
      <w:r>
        <w:rPr>
          <w:rFonts w:hint="eastAsia" w:ascii="宋体" w:hAnsi="宋体"/>
          <w:color w:val="auto"/>
          <w:szCs w:val="21"/>
          <w:highlight w:val="none"/>
          <w:lang w:eastAsia="zh-CN"/>
        </w:rPr>
        <w:t>防水</w:t>
      </w:r>
      <w:r>
        <w:rPr>
          <w:rFonts w:hint="eastAsia" w:ascii="宋体" w:hAnsi="宋体"/>
          <w:color w:val="auto"/>
          <w:szCs w:val="21"/>
          <w:highlight w:val="none"/>
        </w:rPr>
        <w:t>工程签证，原则上不能直接签认</w:t>
      </w:r>
      <w:r>
        <w:rPr>
          <w:rFonts w:hint="eastAsia" w:ascii="宋体" w:hAnsi="宋体"/>
          <w:color w:val="auto"/>
          <w:szCs w:val="21"/>
          <w:highlight w:val="none"/>
          <w:lang w:eastAsia="zh-CN"/>
        </w:rPr>
        <w:t>防水</w:t>
      </w:r>
      <w:r>
        <w:rPr>
          <w:rFonts w:hint="eastAsia" w:ascii="宋体" w:hAnsi="宋体"/>
          <w:color w:val="auto"/>
          <w:szCs w:val="21"/>
          <w:highlight w:val="none"/>
        </w:rPr>
        <w:t>工程量，</w:t>
      </w:r>
      <w:r>
        <w:rPr>
          <w:rFonts w:hint="eastAsia" w:ascii="宋体" w:hAnsi="宋体"/>
          <w:color w:val="auto"/>
          <w:sz w:val="21"/>
          <w:szCs w:val="21"/>
          <w:highlight w:val="none"/>
        </w:rPr>
        <w:t>要求绘制方格网图</w:t>
      </w:r>
      <w:r>
        <w:rPr>
          <w:rFonts w:hint="eastAsia" w:ascii="宋体" w:hAnsi="宋体" w:eastAsia="宋体"/>
          <w:color w:val="auto"/>
          <w:sz w:val="21"/>
          <w:szCs w:val="21"/>
          <w:highlight w:val="none"/>
          <w:lang w:val="en-US" w:eastAsia="zh-CN"/>
        </w:rPr>
        <w:t>或示意图（单次</w:t>
      </w:r>
      <w:r>
        <w:rPr>
          <w:rFonts w:hint="eastAsia" w:ascii="宋体" w:hAnsi="宋体"/>
          <w:color w:val="auto"/>
          <w:sz w:val="21"/>
          <w:szCs w:val="21"/>
          <w:highlight w:val="none"/>
          <w:lang w:val="en-US" w:eastAsia="zh-CN"/>
        </w:rPr>
        <w:t>防水</w:t>
      </w:r>
      <w:r>
        <w:rPr>
          <w:rFonts w:hint="eastAsia" w:ascii="宋体" w:hAnsi="宋体" w:eastAsia="宋体"/>
          <w:color w:val="auto"/>
          <w:sz w:val="21"/>
          <w:szCs w:val="21"/>
          <w:highlight w:val="none"/>
          <w:lang w:val="en-US" w:eastAsia="zh-CN"/>
        </w:rPr>
        <w:t>工程工程量超过</w:t>
      </w:r>
      <w:r>
        <w:rPr>
          <w:rFonts w:hint="eastAsia" w:ascii="宋体" w:hAnsi="宋体" w:eastAsia="宋体"/>
          <w:color w:val="auto"/>
          <w:sz w:val="21"/>
          <w:szCs w:val="21"/>
          <w:highlight w:val="none"/>
          <w:u w:val="single"/>
          <w:lang w:val="en-US" w:eastAsia="zh-CN"/>
        </w:rPr>
        <w:t xml:space="preserve">  </w:t>
      </w:r>
      <w:r>
        <w:rPr>
          <w:rFonts w:hint="eastAsia" w:ascii="宋体" w:hAnsi="宋体"/>
          <w:color w:val="auto"/>
          <w:sz w:val="21"/>
          <w:szCs w:val="21"/>
          <w:highlight w:val="none"/>
          <w:u w:val="single"/>
          <w:lang w:val="en-US" w:eastAsia="zh-CN"/>
        </w:rPr>
        <w:t>/</w:t>
      </w:r>
      <w:r>
        <w:rPr>
          <w:rFonts w:hint="eastAsia"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u w:val="none"/>
          <w:lang w:val="en-US" w:eastAsia="zh-CN"/>
        </w:rPr>
        <w:t>m</w:t>
      </w:r>
      <w:r>
        <w:rPr>
          <w:rFonts w:hint="eastAsia" w:ascii="宋体" w:hAnsi="宋体" w:eastAsia="宋体"/>
          <w:color w:val="auto"/>
          <w:sz w:val="21"/>
          <w:szCs w:val="21"/>
          <w:highlight w:val="none"/>
          <w:u w:val="none"/>
          <w:vertAlign w:val="superscript"/>
          <w:lang w:val="en-US" w:eastAsia="zh-CN"/>
        </w:rPr>
        <w:t>3</w:t>
      </w:r>
      <w:r>
        <w:rPr>
          <w:rFonts w:hint="eastAsia" w:ascii="宋体" w:hAnsi="宋体" w:eastAsia="宋体"/>
          <w:color w:val="auto"/>
          <w:sz w:val="21"/>
          <w:szCs w:val="21"/>
          <w:highlight w:val="none"/>
          <w:u w:val="none"/>
          <w:lang w:val="en-US" w:eastAsia="zh-CN"/>
        </w:rPr>
        <w:t>时，必须绘制方格网图</w:t>
      </w:r>
      <w:r>
        <w:rPr>
          <w:rFonts w:hint="eastAsia" w:ascii="宋体" w:hAnsi="宋体" w:eastAsia="宋体"/>
          <w:color w:val="auto"/>
          <w:sz w:val="21"/>
          <w:szCs w:val="21"/>
          <w:highlight w:val="none"/>
          <w:lang w:val="en-US" w:eastAsia="zh-CN"/>
        </w:rPr>
        <w:t>）</w:t>
      </w:r>
      <w:r>
        <w:rPr>
          <w:rFonts w:hint="eastAsia" w:ascii="宋体" w:hAnsi="宋体"/>
          <w:color w:val="auto"/>
          <w:szCs w:val="21"/>
          <w:highlight w:val="none"/>
        </w:rPr>
        <w:t>。</w:t>
      </w:r>
    </w:p>
    <w:p>
      <w:pPr>
        <w:numPr>
          <w:ilvl w:val="0"/>
          <w:numId w:val="0"/>
        </w:numPr>
        <w:bidi w:val="0"/>
        <w:ind w:leftChars="0"/>
        <w:jc w:val="center"/>
        <w:rPr>
          <w:rFonts w:hint="eastAsia" w:ascii="宋体" w:hAnsi="宋体" w:eastAsia="宋体"/>
          <w:b/>
          <w:bCs/>
          <w:color w:val="auto"/>
          <w:kern w:val="44"/>
          <w:sz w:val="32"/>
          <w:szCs w:val="32"/>
          <w:highlight w:val="none"/>
          <w:lang w:val="en-US" w:eastAsia="zh-CN" w:bidi="ar-SA"/>
        </w:rPr>
      </w:pPr>
      <w:bookmarkStart w:id="276" w:name="_Toc20759"/>
      <w:bookmarkStart w:id="277" w:name="_Toc30321"/>
      <w:bookmarkStart w:id="278" w:name="_Toc27669"/>
      <w:bookmarkStart w:id="279" w:name="_Toc23412"/>
      <w:bookmarkStart w:id="280" w:name="_Toc25207"/>
      <w:bookmarkStart w:id="281" w:name="_Toc5321"/>
      <w:bookmarkStart w:id="282" w:name="_Toc21038"/>
      <w:bookmarkStart w:id="283" w:name="_Toc16057"/>
      <w:bookmarkStart w:id="284" w:name="_Toc13157"/>
      <w:bookmarkStart w:id="285" w:name="_Toc19967"/>
      <w:bookmarkStart w:id="286" w:name="_Toc23593"/>
      <w:bookmarkStart w:id="287" w:name="_Toc858"/>
      <w:r>
        <w:rPr>
          <w:rFonts w:hint="eastAsia" w:ascii="宋体" w:hAnsi="宋体" w:eastAsia="宋体"/>
          <w:b/>
          <w:bCs/>
          <w:color w:val="auto"/>
          <w:kern w:val="44"/>
          <w:sz w:val="32"/>
          <w:szCs w:val="32"/>
          <w:highlight w:val="none"/>
          <w:lang w:val="en-US" w:eastAsia="zh-CN" w:bidi="ar-SA"/>
        </w:rPr>
        <w:t>第五节 合同甲供料管理要求</w:t>
      </w:r>
      <w:bookmarkEnd w:id="276"/>
      <w:bookmarkEnd w:id="277"/>
      <w:bookmarkEnd w:id="278"/>
      <w:bookmarkEnd w:id="279"/>
      <w:bookmarkEnd w:id="280"/>
      <w:bookmarkEnd w:id="281"/>
      <w:bookmarkEnd w:id="282"/>
      <w:bookmarkEnd w:id="283"/>
      <w:bookmarkEnd w:id="284"/>
      <w:bookmarkEnd w:id="285"/>
      <w:bookmarkEnd w:id="286"/>
      <w:bookmarkEnd w:id="28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四、</w:t>
      </w:r>
      <w:r>
        <w:rPr>
          <w:rFonts w:hint="eastAsia" w:ascii="宋体" w:hAnsi="宋体"/>
          <w:color w:val="auto"/>
          <w:szCs w:val="21"/>
          <w:highlight w:val="none"/>
        </w:rPr>
        <w:t>分包领料结算及节超管理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w:t>
      </w:r>
      <w:r>
        <w:rPr>
          <w:rFonts w:hint="eastAsia" w:ascii="宋体" w:hAnsi="宋体"/>
          <w:color w:val="auto"/>
          <w:szCs w:val="21"/>
          <w:highlight w:val="none"/>
        </w:rPr>
        <w:t>甲供物资节超管理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b/>
          <w:color w:val="auto"/>
          <w:sz w:val="21"/>
          <w:szCs w:val="21"/>
          <w:highlight w:val="none"/>
          <w:lang w:val="en-US" w:eastAsia="zh-CN"/>
        </w:rPr>
      </w:pPr>
      <w:r>
        <w:rPr>
          <w:rFonts w:hint="eastAsia" w:ascii="宋体" w:hAnsi="宋体"/>
          <w:color w:val="auto"/>
          <w:szCs w:val="21"/>
          <w:highlight w:val="none"/>
        </w:rPr>
        <w:t>专业分包人</w:t>
      </w:r>
      <w:r>
        <w:rPr>
          <w:rFonts w:hint="eastAsia" w:ascii="宋体" w:hAnsi="宋体"/>
          <w:color w:val="auto"/>
          <w:sz w:val="21"/>
          <w:szCs w:val="21"/>
          <w:highlight w:val="none"/>
          <w:lang w:eastAsia="zh-CN"/>
        </w:rPr>
        <w:t>必须足额且在目标控制用量范围内领用和使用</w:t>
      </w:r>
      <w:r>
        <w:rPr>
          <w:rFonts w:hint="eastAsia" w:ascii="宋体" w:hAnsi="宋体"/>
          <w:color w:val="auto"/>
          <w:sz w:val="21"/>
          <w:szCs w:val="21"/>
          <w:highlight w:val="none"/>
          <w:lang w:val="en-US" w:eastAsia="zh-CN"/>
        </w:rPr>
        <w:t>材料</w:t>
      </w:r>
      <w:r>
        <w:rPr>
          <w:rFonts w:hint="eastAsia" w:ascii="宋体" w:hAnsi="宋体"/>
          <w:color w:val="auto"/>
          <w:sz w:val="21"/>
          <w:szCs w:val="21"/>
          <w:highlight w:val="none"/>
          <w:lang w:eastAsia="zh-CN"/>
        </w:rPr>
        <w:t>。针对超额领用（或耗用）的部分，由</w:t>
      </w:r>
      <w:r>
        <w:rPr>
          <w:rFonts w:hint="eastAsia" w:ascii="宋体" w:hAnsi="宋体"/>
          <w:color w:val="auto"/>
          <w:sz w:val="21"/>
          <w:szCs w:val="21"/>
          <w:highlight w:val="none"/>
          <w:lang w:val="en-US" w:eastAsia="zh-CN"/>
        </w:rPr>
        <w:t>专业分包人</w:t>
      </w:r>
      <w:r>
        <w:rPr>
          <w:rFonts w:hint="eastAsia" w:ascii="宋体" w:hAnsi="宋体"/>
          <w:color w:val="auto"/>
          <w:sz w:val="21"/>
          <w:szCs w:val="21"/>
          <w:highlight w:val="none"/>
          <w:lang w:eastAsia="zh-CN"/>
        </w:rPr>
        <w:t>按原价的</w:t>
      </w:r>
      <w:r>
        <w:rPr>
          <w:rFonts w:hint="eastAsia" w:ascii="宋体" w:hAnsi="宋体"/>
          <w:color w:val="auto"/>
          <w:sz w:val="21"/>
          <w:szCs w:val="21"/>
          <w:highlight w:val="none"/>
          <w:u w:val="single"/>
          <w:lang w:eastAsia="zh-CN"/>
        </w:rPr>
        <w:t xml:space="preserve">  </w:t>
      </w:r>
      <w:r>
        <w:rPr>
          <w:rFonts w:hint="eastAsia" w:ascii="宋体" w:hAnsi="宋体"/>
          <w:color w:val="auto"/>
          <w:sz w:val="21"/>
          <w:szCs w:val="21"/>
          <w:highlight w:val="none"/>
          <w:u w:val="single"/>
          <w:lang w:val="en-US" w:eastAsia="zh-CN"/>
        </w:rPr>
        <w:t>/</w:t>
      </w:r>
      <w:r>
        <w:rPr>
          <w:rFonts w:hint="eastAsia" w:ascii="宋体" w:hAnsi="宋体"/>
          <w:color w:val="auto"/>
          <w:sz w:val="21"/>
          <w:szCs w:val="21"/>
          <w:highlight w:val="none"/>
          <w:u w:val="single"/>
          <w:lang w:eastAsia="zh-CN"/>
        </w:rPr>
        <w:t xml:space="preserve">  </w:t>
      </w:r>
      <w:r>
        <w:rPr>
          <w:rFonts w:hint="eastAsia" w:ascii="宋体" w:hAnsi="宋体"/>
          <w:color w:val="auto"/>
          <w:sz w:val="21"/>
          <w:szCs w:val="21"/>
          <w:highlight w:val="none"/>
          <w:lang w:eastAsia="zh-CN"/>
        </w:rPr>
        <w:t>倍赔偿。</w:t>
      </w:r>
    </w:p>
    <w:p>
      <w:pPr>
        <w:numPr>
          <w:ilvl w:val="0"/>
          <w:numId w:val="0"/>
        </w:numPr>
        <w:bidi w:val="0"/>
        <w:ind w:leftChars="0"/>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 xml:space="preserve">                                                                               </w:t>
      </w:r>
    </w:p>
    <w:p>
      <w:pPr>
        <w:numPr>
          <w:ilvl w:val="0"/>
          <w:numId w:val="0"/>
        </w:numPr>
        <w:bidi w:val="0"/>
        <w:ind w:leftChars="0"/>
        <w:jc w:val="center"/>
        <w:rPr>
          <w:rFonts w:hint="eastAsia" w:ascii="宋体" w:hAnsi="宋体" w:eastAsia="宋体"/>
          <w:b/>
          <w:bCs/>
          <w:color w:val="auto"/>
          <w:kern w:val="44"/>
          <w:sz w:val="32"/>
          <w:szCs w:val="32"/>
          <w:highlight w:val="none"/>
          <w:lang w:val="en-US" w:eastAsia="zh-CN" w:bidi="ar-SA"/>
        </w:rPr>
      </w:pPr>
      <w:bookmarkStart w:id="288" w:name="_Toc4811"/>
      <w:bookmarkStart w:id="289" w:name="_Toc508"/>
      <w:bookmarkStart w:id="290" w:name="_Toc7832"/>
      <w:bookmarkStart w:id="291" w:name="_Toc28812"/>
      <w:bookmarkStart w:id="292" w:name="_Toc8875"/>
      <w:bookmarkStart w:id="293" w:name="_Toc17619"/>
      <w:bookmarkStart w:id="294" w:name="_Toc16094"/>
      <w:bookmarkStart w:id="295" w:name="_Toc31680"/>
      <w:bookmarkStart w:id="296" w:name="_Toc499"/>
      <w:bookmarkStart w:id="297" w:name="_Toc20110"/>
      <w:bookmarkStart w:id="298" w:name="_Toc25751"/>
      <w:bookmarkStart w:id="299" w:name="_Toc9905"/>
      <w:r>
        <w:rPr>
          <w:rFonts w:hint="eastAsia" w:ascii="宋体" w:hAnsi="宋体" w:eastAsia="宋体"/>
          <w:b/>
          <w:bCs/>
          <w:color w:val="auto"/>
          <w:kern w:val="44"/>
          <w:sz w:val="32"/>
          <w:szCs w:val="32"/>
          <w:highlight w:val="none"/>
          <w:lang w:val="en-US" w:eastAsia="zh-CN" w:bidi="ar-SA"/>
        </w:rPr>
        <w:t>第六节 财务管理要求</w:t>
      </w:r>
      <w:bookmarkEnd w:id="288"/>
      <w:bookmarkEnd w:id="289"/>
      <w:bookmarkEnd w:id="290"/>
      <w:bookmarkEnd w:id="291"/>
      <w:bookmarkEnd w:id="292"/>
      <w:bookmarkEnd w:id="293"/>
      <w:bookmarkEnd w:id="294"/>
      <w:bookmarkEnd w:id="295"/>
      <w:bookmarkEnd w:id="296"/>
      <w:bookmarkEnd w:id="297"/>
      <w:bookmarkEnd w:id="298"/>
      <w:bookmarkEnd w:id="299"/>
    </w:p>
    <w:p>
      <w:pPr>
        <w:numPr>
          <w:ilvl w:val="0"/>
          <w:numId w:val="0"/>
        </w:numPr>
        <w:bidi w:val="0"/>
        <w:ind w:leftChars="0"/>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 xml:space="preserve">                                                                                        </w:t>
      </w:r>
    </w:p>
    <w:p>
      <w:pPr>
        <w:numPr>
          <w:ilvl w:val="0"/>
          <w:numId w:val="0"/>
        </w:numPr>
        <w:bidi w:val="0"/>
        <w:ind w:leftChars="0"/>
        <w:jc w:val="center"/>
        <w:rPr>
          <w:rFonts w:hint="eastAsia" w:ascii="宋体" w:hAnsi="宋体" w:eastAsia="宋体"/>
          <w:b/>
          <w:bCs/>
          <w:color w:val="auto"/>
          <w:kern w:val="44"/>
          <w:sz w:val="32"/>
          <w:szCs w:val="32"/>
          <w:highlight w:val="none"/>
          <w:lang w:val="en-US" w:eastAsia="zh-CN" w:bidi="ar-SA"/>
        </w:rPr>
      </w:pPr>
      <w:bookmarkStart w:id="300" w:name="_Toc15126"/>
      <w:bookmarkStart w:id="301" w:name="_Toc7997"/>
      <w:bookmarkStart w:id="302" w:name="_Toc26658"/>
      <w:bookmarkStart w:id="303" w:name="_Toc1842"/>
      <w:bookmarkStart w:id="304" w:name="_Toc8652"/>
      <w:bookmarkStart w:id="305" w:name="_Toc7437"/>
      <w:bookmarkStart w:id="306" w:name="_Toc24532"/>
      <w:bookmarkStart w:id="307" w:name="_Toc8387"/>
      <w:bookmarkStart w:id="308" w:name="_Toc22472"/>
      <w:bookmarkStart w:id="309" w:name="_Toc17423"/>
      <w:bookmarkStart w:id="310" w:name="_Toc1797"/>
      <w:bookmarkStart w:id="311" w:name="_Toc24463"/>
      <w:r>
        <w:rPr>
          <w:rFonts w:hint="eastAsia" w:ascii="宋体" w:hAnsi="宋体" w:eastAsia="宋体"/>
          <w:b/>
          <w:bCs/>
          <w:color w:val="auto"/>
          <w:kern w:val="44"/>
          <w:sz w:val="32"/>
          <w:szCs w:val="32"/>
          <w:highlight w:val="none"/>
          <w:lang w:val="en-US" w:eastAsia="zh-CN" w:bidi="ar-SA"/>
        </w:rPr>
        <w:t>第七节 农民工实名制及工资支付管理要求</w:t>
      </w:r>
      <w:bookmarkEnd w:id="300"/>
      <w:bookmarkEnd w:id="301"/>
      <w:bookmarkEnd w:id="302"/>
      <w:bookmarkEnd w:id="303"/>
      <w:bookmarkEnd w:id="304"/>
      <w:bookmarkEnd w:id="305"/>
      <w:bookmarkEnd w:id="306"/>
      <w:bookmarkEnd w:id="307"/>
      <w:bookmarkEnd w:id="308"/>
      <w:bookmarkEnd w:id="309"/>
      <w:bookmarkEnd w:id="310"/>
      <w:bookmarkEnd w:id="311"/>
    </w:p>
    <w:p>
      <w:pPr>
        <w:numPr>
          <w:ilvl w:val="0"/>
          <w:numId w:val="0"/>
        </w:numPr>
        <w:bidi w:val="0"/>
        <w:ind w:leftChars="0"/>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 xml:space="preserve">                                                                                        </w:t>
      </w:r>
    </w:p>
    <w:p>
      <w:pPr>
        <w:pStyle w:val="2"/>
        <w:spacing w:before="0" w:after="0" w:line="360" w:lineRule="auto"/>
        <w:jc w:val="center"/>
        <w:rPr>
          <w:rFonts w:hint="eastAsia" w:ascii="宋体" w:hAnsi="宋体" w:eastAsia="宋体"/>
          <w:b/>
          <w:bCs/>
          <w:color w:val="auto"/>
          <w:kern w:val="44"/>
          <w:sz w:val="32"/>
          <w:szCs w:val="32"/>
          <w:highlight w:val="none"/>
          <w:lang w:val="en-US" w:eastAsia="zh-CN" w:bidi="ar-SA"/>
        </w:rPr>
      </w:pPr>
      <w:bookmarkStart w:id="312" w:name="_Toc26420"/>
      <w:bookmarkStart w:id="313" w:name="_Toc891"/>
      <w:bookmarkStart w:id="314" w:name="_Toc23107"/>
      <w:bookmarkStart w:id="315" w:name="_Toc13456"/>
      <w:bookmarkStart w:id="316" w:name="_Toc28293"/>
      <w:bookmarkStart w:id="317" w:name="_Toc6667"/>
      <w:bookmarkStart w:id="318" w:name="_Toc29507"/>
      <w:bookmarkStart w:id="319" w:name="_Toc19541"/>
      <w:bookmarkStart w:id="320" w:name="_Toc27039"/>
      <w:bookmarkStart w:id="321" w:name="_Toc17695"/>
      <w:bookmarkStart w:id="322" w:name="_Toc28055"/>
      <w:bookmarkStart w:id="323" w:name="_Toc15077"/>
      <w:bookmarkStart w:id="324" w:name="_Toc7960"/>
      <w:bookmarkStart w:id="325" w:name="_Toc26376"/>
      <w:bookmarkStart w:id="326" w:name="_Toc20599"/>
      <w:r>
        <w:rPr>
          <w:rFonts w:hint="eastAsia" w:ascii="宋体" w:hAnsi="宋体" w:eastAsia="宋体"/>
          <w:b/>
          <w:bCs/>
          <w:color w:val="auto"/>
          <w:kern w:val="44"/>
          <w:sz w:val="32"/>
          <w:szCs w:val="32"/>
          <w:highlight w:val="none"/>
          <w:lang w:val="en-US" w:eastAsia="zh-CN" w:bidi="ar-SA"/>
        </w:rPr>
        <w:t>第八节 维护项目建设过程良好公众形象的要求</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bidi w:val="0"/>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 xml:space="preserve">                                                                                        </w:t>
      </w:r>
    </w:p>
    <w:p>
      <w:pPr>
        <w:numPr>
          <w:ilvl w:val="0"/>
          <w:numId w:val="0"/>
        </w:numPr>
        <w:bidi w:val="0"/>
        <w:ind w:leftChars="0"/>
        <w:jc w:val="center"/>
        <w:rPr>
          <w:rFonts w:hint="eastAsia" w:ascii="宋体" w:hAnsi="宋体" w:eastAsia="宋体"/>
          <w:b/>
          <w:bCs/>
          <w:color w:val="auto"/>
          <w:kern w:val="44"/>
          <w:sz w:val="32"/>
          <w:szCs w:val="32"/>
          <w:highlight w:val="none"/>
          <w:lang w:val="en-US" w:eastAsia="zh-CN" w:bidi="ar-SA"/>
        </w:rPr>
      </w:pPr>
      <w:bookmarkStart w:id="327" w:name="_Toc23795"/>
      <w:bookmarkStart w:id="328" w:name="_Toc30878"/>
      <w:bookmarkStart w:id="329" w:name="_Toc20988"/>
      <w:bookmarkStart w:id="330" w:name="_Toc32631"/>
      <w:bookmarkStart w:id="331" w:name="_Toc5868"/>
      <w:bookmarkStart w:id="332" w:name="_Toc14196"/>
      <w:bookmarkStart w:id="333" w:name="_Toc18981"/>
      <w:bookmarkStart w:id="334" w:name="_Toc25652"/>
      <w:bookmarkStart w:id="335" w:name="_Toc8749"/>
      <w:bookmarkStart w:id="336" w:name="_Toc21923"/>
      <w:bookmarkStart w:id="337" w:name="_Toc11506"/>
      <w:bookmarkStart w:id="338" w:name="_Toc22390"/>
      <w:r>
        <w:rPr>
          <w:rFonts w:hint="eastAsia" w:ascii="宋体" w:hAnsi="宋体" w:eastAsia="宋体"/>
          <w:b/>
          <w:bCs/>
          <w:color w:val="auto"/>
          <w:kern w:val="44"/>
          <w:sz w:val="32"/>
          <w:szCs w:val="32"/>
          <w:highlight w:val="none"/>
          <w:lang w:val="en-US" w:eastAsia="zh-CN" w:bidi="ar-SA"/>
        </w:rPr>
        <w:t>第九节 信访维稳安全保卫管理要求</w:t>
      </w:r>
      <w:bookmarkEnd w:id="327"/>
      <w:bookmarkEnd w:id="328"/>
      <w:bookmarkEnd w:id="329"/>
      <w:bookmarkEnd w:id="330"/>
      <w:bookmarkEnd w:id="331"/>
      <w:bookmarkEnd w:id="332"/>
      <w:bookmarkEnd w:id="333"/>
      <w:bookmarkEnd w:id="334"/>
      <w:bookmarkEnd w:id="335"/>
      <w:bookmarkEnd w:id="336"/>
      <w:bookmarkEnd w:id="337"/>
      <w:bookmarkEnd w:id="338"/>
    </w:p>
    <w:p>
      <w:pPr>
        <w:numPr>
          <w:ilvl w:val="0"/>
          <w:numId w:val="0"/>
        </w:numPr>
        <w:bidi w:val="0"/>
        <w:ind w:leftChars="0"/>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 xml:space="preserve">                                                                                        </w:t>
      </w:r>
    </w:p>
    <w:p>
      <w:pPr>
        <w:numPr>
          <w:ilvl w:val="0"/>
          <w:numId w:val="0"/>
        </w:numPr>
        <w:bidi w:val="0"/>
        <w:ind w:leftChars="0"/>
        <w:jc w:val="center"/>
        <w:rPr>
          <w:rFonts w:hint="eastAsia" w:ascii="宋体" w:hAnsi="宋体" w:eastAsia="宋体"/>
          <w:b/>
          <w:bCs/>
          <w:color w:val="auto"/>
          <w:kern w:val="44"/>
          <w:sz w:val="32"/>
          <w:szCs w:val="32"/>
          <w:highlight w:val="none"/>
          <w:lang w:val="en-US" w:eastAsia="zh-CN" w:bidi="ar-SA"/>
        </w:rPr>
      </w:pPr>
      <w:bookmarkStart w:id="339" w:name="_Toc29537"/>
      <w:bookmarkStart w:id="340" w:name="_Toc5715"/>
      <w:bookmarkStart w:id="341" w:name="_Toc21266"/>
      <w:bookmarkStart w:id="342" w:name="_Toc9522"/>
      <w:bookmarkStart w:id="343" w:name="_Toc15083"/>
      <w:bookmarkStart w:id="344" w:name="_Toc9472"/>
      <w:bookmarkStart w:id="345" w:name="_Toc5769"/>
      <w:bookmarkStart w:id="346" w:name="_Toc29317"/>
      <w:bookmarkStart w:id="347" w:name="_Toc20492"/>
      <w:bookmarkStart w:id="348" w:name="_Toc13421"/>
      <w:bookmarkStart w:id="349" w:name="_Toc3830"/>
      <w:bookmarkStart w:id="350" w:name="_Toc26090"/>
      <w:r>
        <w:rPr>
          <w:rFonts w:hint="eastAsia" w:ascii="宋体" w:hAnsi="宋体" w:eastAsia="宋体"/>
          <w:b/>
          <w:bCs/>
          <w:color w:val="auto"/>
          <w:kern w:val="44"/>
          <w:sz w:val="32"/>
          <w:szCs w:val="32"/>
          <w:highlight w:val="none"/>
          <w:lang w:val="en-US" w:eastAsia="zh-CN" w:bidi="ar-SA"/>
        </w:rPr>
        <w:t>第十节 依法经营廉洁合作的要求</w:t>
      </w:r>
      <w:bookmarkEnd w:id="339"/>
      <w:bookmarkEnd w:id="340"/>
      <w:bookmarkEnd w:id="341"/>
      <w:bookmarkEnd w:id="342"/>
      <w:bookmarkEnd w:id="343"/>
      <w:bookmarkEnd w:id="344"/>
      <w:bookmarkEnd w:id="345"/>
      <w:bookmarkEnd w:id="346"/>
      <w:bookmarkEnd w:id="347"/>
      <w:bookmarkEnd w:id="348"/>
      <w:bookmarkEnd w:id="349"/>
      <w:bookmarkEnd w:id="350"/>
    </w:p>
    <w:p>
      <w:pPr>
        <w:numPr>
          <w:ilvl w:val="0"/>
          <w:numId w:val="0"/>
        </w:numPr>
        <w:bidi w:val="0"/>
        <w:ind w:leftChars="0"/>
        <w:rPr>
          <w:rFonts w:hint="eastAsia"/>
          <w:color w:val="auto"/>
          <w:highlight w:val="none"/>
          <w:lang w:val="en-US" w:eastAsia="zh-CN"/>
        </w:rPr>
      </w:pPr>
      <w:r>
        <w:rPr>
          <w:rFonts w:hint="eastAsia" w:ascii="宋体" w:hAnsi="宋体" w:eastAsia="宋体"/>
          <w:b/>
          <w:color w:val="auto"/>
          <w:sz w:val="21"/>
          <w:szCs w:val="21"/>
          <w:highlight w:val="none"/>
          <w:lang w:val="en-US" w:eastAsia="zh-CN"/>
        </w:rPr>
        <w:t xml:space="preserve">                                                                                        </w:t>
      </w:r>
    </w:p>
    <w:p>
      <w:pPr>
        <w:numPr>
          <w:ilvl w:val="0"/>
          <w:numId w:val="0"/>
        </w:numPr>
        <w:bidi w:val="0"/>
        <w:ind w:leftChars="0"/>
        <w:jc w:val="center"/>
        <w:rPr>
          <w:rFonts w:hint="eastAsia" w:ascii="宋体" w:hAnsi="宋体" w:eastAsia="宋体"/>
          <w:b/>
          <w:bCs/>
          <w:color w:val="auto"/>
          <w:kern w:val="44"/>
          <w:sz w:val="32"/>
          <w:szCs w:val="32"/>
          <w:highlight w:val="none"/>
          <w:lang w:val="en-US" w:eastAsia="zh-CN" w:bidi="ar-SA"/>
        </w:rPr>
      </w:pPr>
      <w:bookmarkStart w:id="351" w:name="_Toc22541"/>
      <w:bookmarkStart w:id="352" w:name="_Toc5351"/>
      <w:bookmarkStart w:id="353" w:name="_Toc4965"/>
      <w:bookmarkStart w:id="354" w:name="_Toc15550"/>
      <w:bookmarkStart w:id="355" w:name="_Toc2094"/>
      <w:bookmarkStart w:id="356" w:name="_Toc17935"/>
      <w:bookmarkStart w:id="357" w:name="_Toc29192"/>
      <w:bookmarkStart w:id="358" w:name="_Toc19581"/>
      <w:r>
        <w:rPr>
          <w:rFonts w:hint="eastAsia" w:ascii="宋体" w:hAnsi="宋体" w:eastAsia="宋体"/>
          <w:b/>
          <w:bCs/>
          <w:color w:val="auto"/>
          <w:kern w:val="44"/>
          <w:sz w:val="32"/>
          <w:szCs w:val="32"/>
          <w:highlight w:val="none"/>
          <w:lang w:val="en-US" w:eastAsia="zh-CN" w:bidi="ar-SA"/>
        </w:rPr>
        <w:t>第十一节 分包工程作业人员要求</w:t>
      </w:r>
      <w:bookmarkEnd w:id="351"/>
      <w:bookmarkEnd w:id="352"/>
      <w:bookmarkEnd w:id="353"/>
      <w:bookmarkEnd w:id="354"/>
      <w:bookmarkEnd w:id="355"/>
      <w:bookmarkEnd w:id="356"/>
      <w:bookmarkEnd w:id="357"/>
      <w:bookmarkEnd w:id="358"/>
    </w:p>
    <w:p>
      <w:pPr>
        <w:numPr>
          <w:ilvl w:val="0"/>
          <w:numId w:val="0"/>
        </w:numPr>
        <w:bidi w:val="0"/>
        <w:ind w:leftChars="0"/>
        <w:rPr>
          <w:rFonts w:hint="eastAsia"/>
          <w:color w:val="auto"/>
          <w:highlight w:val="none"/>
          <w:lang w:val="en-US" w:eastAsia="zh-CN"/>
        </w:rPr>
      </w:pPr>
      <w:r>
        <w:rPr>
          <w:rFonts w:hint="eastAsia" w:ascii="宋体" w:hAnsi="宋体" w:eastAsia="宋体"/>
          <w:b/>
          <w:color w:val="auto"/>
          <w:sz w:val="21"/>
          <w:szCs w:val="21"/>
          <w:highlight w:val="none"/>
          <w:lang w:val="en-US" w:eastAsia="zh-CN"/>
        </w:rPr>
        <w:t xml:space="preserve">                                                                                        </w:t>
      </w:r>
    </w:p>
    <w:p>
      <w:pPr>
        <w:pStyle w:val="2"/>
        <w:spacing w:before="0" w:after="0" w:line="360" w:lineRule="auto"/>
        <w:jc w:val="center"/>
        <w:rPr>
          <w:rFonts w:hint="default" w:ascii="宋体" w:hAnsi="宋体" w:eastAsia="宋体"/>
          <w:b/>
          <w:bCs/>
          <w:color w:val="auto"/>
          <w:kern w:val="44"/>
          <w:sz w:val="32"/>
          <w:szCs w:val="32"/>
          <w:highlight w:val="none"/>
          <w:lang w:val="en-US" w:eastAsia="zh-CN" w:bidi="ar-SA"/>
        </w:rPr>
      </w:pPr>
      <w:bookmarkStart w:id="359" w:name="_Toc1020"/>
      <w:bookmarkStart w:id="360" w:name="_Toc899"/>
      <w:bookmarkStart w:id="361" w:name="_Toc327"/>
      <w:bookmarkStart w:id="362" w:name="_Toc18935"/>
      <w:bookmarkStart w:id="363" w:name="_Toc29113"/>
      <w:bookmarkStart w:id="364" w:name="_Toc25825"/>
      <w:bookmarkStart w:id="365" w:name="_Toc10335"/>
      <w:bookmarkStart w:id="366" w:name="_Toc10820"/>
      <w:bookmarkStart w:id="367" w:name="_Toc4080"/>
      <w:bookmarkStart w:id="368" w:name="_Toc12819"/>
      <w:bookmarkStart w:id="369" w:name="_Toc18914"/>
      <w:r>
        <w:rPr>
          <w:rFonts w:hint="eastAsia" w:ascii="宋体" w:hAnsi="宋体" w:eastAsia="宋体"/>
          <w:b/>
          <w:bCs/>
          <w:color w:val="auto"/>
          <w:kern w:val="44"/>
          <w:sz w:val="32"/>
          <w:szCs w:val="32"/>
          <w:highlight w:val="none"/>
          <w:lang w:val="en-US" w:eastAsia="zh-CN" w:bidi="ar-SA"/>
        </w:rPr>
        <w:t>第十二节 相关管理</w:t>
      </w:r>
      <w:bookmarkEnd w:id="359"/>
      <w:bookmarkEnd w:id="360"/>
      <w:bookmarkEnd w:id="361"/>
      <w:bookmarkEnd w:id="362"/>
      <w:bookmarkEnd w:id="363"/>
      <w:bookmarkEnd w:id="364"/>
      <w:bookmarkEnd w:id="365"/>
      <w:bookmarkEnd w:id="366"/>
      <w:bookmarkEnd w:id="367"/>
      <w:r>
        <w:rPr>
          <w:rFonts w:hint="eastAsia" w:ascii="宋体" w:hAnsi="宋体" w:eastAsia="宋体"/>
          <w:b/>
          <w:bCs/>
          <w:color w:val="auto"/>
          <w:kern w:val="44"/>
          <w:sz w:val="32"/>
          <w:szCs w:val="32"/>
          <w:highlight w:val="none"/>
          <w:lang w:val="en-US" w:eastAsia="zh-CN" w:bidi="ar-SA"/>
        </w:rPr>
        <w:t>用表</w:t>
      </w:r>
      <w:bookmarkEnd w:id="368"/>
      <w:bookmarkEnd w:id="369"/>
    </w:p>
    <w:p>
      <w:pPr>
        <w:pStyle w:val="30"/>
        <w:spacing w:before="0" w:line="360" w:lineRule="auto"/>
        <w:ind w:firstLine="482" w:firstLineChars="200"/>
        <w:outlineLvl w:val="5"/>
        <w:rPr>
          <w:rFonts w:hint="eastAsia" w:ascii="宋体" w:hAnsi="宋体" w:eastAsia="宋体"/>
          <w:b/>
          <w:bCs w:val="0"/>
          <w:color w:val="auto"/>
          <w:sz w:val="24"/>
          <w:szCs w:val="24"/>
          <w:highlight w:val="none"/>
        </w:rPr>
      </w:pPr>
      <w:bookmarkStart w:id="370" w:name="_Toc10625"/>
      <w:bookmarkStart w:id="371" w:name="_Toc2690"/>
      <w:r>
        <w:rPr>
          <w:rFonts w:hint="eastAsia" w:ascii="宋体" w:hAnsi="宋体" w:eastAsia="宋体"/>
          <w:b/>
          <w:bCs w:val="0"/>
          <w:color w:val="auto"/>
          <w:sz w:val="24"/>
          <w:szCs w:val="24"/>
          <w:highlight w:val="none"/>
          <w:lang w:val="en-US" w:eastAsia="zh-CN"/>
        </w:rPr>
        <w:t>1.</w:t>
      </w:r>
      <w:r>
        <w:rPr>
          <w:rFonts w:hint="eastAsia" w:ascii="宋体" w:hAnsi="宋体" w:eastAsia="宋体"/>
          <w:b/>
          <w:bCs w:val="0"/>
          <w:color w:val="auto"/>
          <w:sz w:val="24"/>
          <w:szCs w:val="24"/>
          <w:highlight w:val="none"/>
        </w:rPr>
        <w:t>合同结算管理要求附表</w:t>
      </w:r>
      <w:bookmarkEnd w:id="370"/>
      <w:bookmarkEnd w:id="371"/>
    </w:p>
    <w:p>
      <w:pPr>
        <w:numPr>
          <w:ilvl w:val="0"/>
          <w:numId w:val="0"/>
        </w:numPr>
        <w:rPr>
          <w:rFonts w:hint="default"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 xml:space="preserve">     </w:t>
      </w:r>
      <w:r>
        <w:rPr>
          <w:rFonts w:hint="eastAsia" w:ascii="宋体" w:hAnsi="宋体" w:eastAsia="宋体"/>
          <w:b w:val="0"/>
          <w:bCs/>
          <w:color w:val="auto"/>
          <w:sz w:val="21"/>
          <w:szCs w:val="21"/>
          <w:highlight w:val="none"/>
          <w:lang w:val="en-US" w:eastAsia="zh-CN"/>
        </w:rPr>
        <w:t xml:space="preserve">      </w:t>
      </w:r>
      <w:r>
        <w:rPr>
          <w:rFonts w:hint="eastAsia" w:ascii="宋体" w:hAnsi="宋体" w:eastAsia="宋体"/>
          <w:b/>
          <w:color w:val="auto"/>
          <w:sz w:val="21"/>
          <w:szCs w:val="21"/>
          <w:highlight w:val="none"/>
          <w:lang w:val="en-US" w:eastAsia="zh-CN"/>
        </w:rPr>
        <w:t xml:space="preserve">                                             </w:t>
      </w:r>
    </w:p>
    <w:p>
      <w:pPr>
        <w:pStyle w:val="30"/>
        <w:spacing w:before="0" w:line="360" w:lineRule="auto"/>
        <w:ind w:firstLine="482" w:firstLineChars="200"/>
        <w:outlineLvl w:val="5"/>
        <w:rPr>
          <w:rFonts w:hint="eastAsia" w:ascii="宋体" w:hAnsi="宋体" w:eastAsia="宋体"/>
          <w:b/>
          <w:bCs w:val="0"/>
          <w:color w:val="auto"/>
          <w:sz w:val="24"/>
          <w:szCs w:val="24"/>
          <w:highlight w:val="none"/>
          <w:lang w:val="en-US" w:eastAsia="zh-CN"/>
        </w:rPr>
      </w:pPr>
      <w:bookmarkStart w:id="372" w:name="_Toc2992"/>
      <w:bookmarkStart w:id="373" w:name="_Toc23455"/>
      <w:r>
        <w:rPr>
          <w:rFonts w:hint="eastAsia" w:ascii="宋体" w:hAnsi="宋体" w:eastAsia="宋体"/>
          <w:b/>
          <w:bCs w:val="0"/>
          <w:color w:val="auto"/>
          <w:sz w:val="24"/>
          <w:szCs w:val="24"/>
          <w:highlight w:val="none"/>
          <w:lang w:val="en-US" w:eastAsia="zh-CN"/>
        </w:rPr>
        <w:t>2.合同签证管理要求附表</w:t>
      </w:r>
      <w:bookmarkEnd w:id="372"/>
      <w:bookmarkEnd w:id="373"/>
    </w:p>
    <w:p>
      <w:pPr>
        <w:bidi w:val="0"/>
        <w:rPr>
          <w:rFonts w:hint="default" w:ascii="宋体" w:hAnsi="宋体" w:eastAsia="宋体"/>
          <w:b/>
          <w:color w:val="auto"/>
          <w:szCs w:val="21"/>
          <w:highlight w:val="none"/>
          <w:lang w:val="en-US" w:eastAsia="zh-CN"/>
        </w:rPr>
      </w:pPr>
      <w:r>
        <w:rPr>
          <w:rFonts w:hint="eastAsia"/>
          <w:color w:val="auto"/>
          <w:highlight w:val="none"/>
          <w:lang w:val="en-US" w:eastAsia="zh-CN"/>
        </w:rPr>
        <w:t xml:space="preserve">     </w:t>
      </w:r>
      <w:r>
        <w:rPr>
          <w:rFonts w:hint="eastAsia" w:ascii="宋体" w:hAnsi="宋体" w:eastAsia="宋体"/>
          <w:b w:val="0"/>
          <w:bCs/>
          <w:color w:val="auto"/>
          <w:sz w:val="21"/>
          <w:szCs w:val="21"/>
          <w:highlight w:val="none"/>
          <w:lang w:val="en-US" w:eastAsia="zh-CN"/>
        </w:rPr>
        <w:t xml:space="preserve"> </w:t>
      </w:r>
      <w:r>
        <w:rPr>
          <w:rFonts w:hint="eastAsia"/>
          <w:color w:val="auto"/>
          <w:highlight w:val="none"/>
          <w:lang w:val="en-US" w:eastAsia="zh-CN"/>
        </w:rPr>
        <w:t xml:space="preserve">                                                  </w:t>
      </w:r>
    </w:p>
    <w:p>
      <w:pPr>
        <w:pStyle w:val="30"/>
        <w:spacing w:before="0" w:line="360" w:lineRule="auto"/>
        <w:ind w:firstLine="482" w:firstLineChars="200"/>
        <w:outlineLvl w:val="5"/>
        <w:rPr>
          <w:rFonts w:hint="eastAsia" w:ascii="宋体" w:hAnsi="宋体" w:eastAsia="宋体"/>
          <w:b/>
          <w:bCs w:val="0"/>
          <w:color w:val="auto"/>
          <w:sz w:val="24"/>
          <w:szCs w:val="24"/>
          <w:highlight w:val="none"/>
          <w:lang w:val="en-US" w:eastAsia="zh-CN"/>
        </w:rPr>
      </w:pPr>
      <w:bookmarkStart w:id="374" w:name="_Toc16964"/>
      <w:bookmarkStart w:id="375" w:name="_Toc20296"/>
      <w:r>
        <w:rPr>
          <w:rFonts w:hint="eastAsia" w:ascii="宋体" w:hAnsi="宋体" w:eastAsia="宋体"/>
          <w:b/>
          <w:bCs w:val="0"/>
          <w:color w:val="auto"/>
          <w:sz w:val="24"/>
          <w:szCs w:val="24"/>
          <w:highlight w:val="none"/>
          <w:lang w:val="en-US" w:eastAsia="zh-CN"/>
        </w:rPr>
        <w:t>3.合同甲供料管理要求附表</w:t>
      </w:r>
      <w:bookmarkEnd w:id="374"/>
      <w:bookmarkEnd w:id="375"/>
    </w:p>
    <w:p>
      <w:pPr>
        <w:bidi w:val="0"/>
        <w:rPr>
          <w:rFonts w:hint="eastAsia"/>
          <w:color w:val="auto"/>
          <w:highlight w:val="none"/>
          <w:lang w:val="en-US" w:eastAsia="zh-CN"/>
        </w:rPr>
      </w:pPr>
      <w:r>
        <w:rPr>
          <w:rFonts w:hint="eastAsia"/>
          <w:color w:val="auto"/>
          <w:highlight w:val="none"/>
          <w:lang w:val="en-US" w:eastAsia="zh-CN"/>
        </w:rPr>
        <w:t xml:space="preserve">                                                       </w:t>
      </w:r>
    </w:p>
    <w:p>
      <w:pPr>
        <w:jc w:val="center"/>
        <w:outlineLvl w:val="4"/>
        <w:rPr>
          <w:rFonts w:hint="eastAsia"/>
          <w:color w:val="auto"/>
          <w:highlight w:val="none"/>
          <w:lang w:val="en-US" w:eastAsia="zh-CN"/>
        </w:rPr>
      </w:pPr>
      <w:bookmarkStart w:id="376" w:name="_Toc1930"/>
      <w:r>
        <w:rPr>
          <w:rFonts w:hint="eastAsia" w:ascii="宋体" w:hAnsi="宋体"/>
          <w:b/>
          <w:bCs/>
          <w:color w:val="auto"/>
          <w:sz w:val="28"/>
          <w:szCs w:val="28"/>
          <w:highlight w:val="none"/>
          <w:lang w:val="en-US" w:eastAsia="zh-CN"/>
        </w:rPr>
        <w:t>十三节 其他要求</w:t>
      </w:r>
      <w:bookmarkEnd w:id="376"/>
    </w:p>
    <w:p>
      <w:pPr>
        <w:bidi w:val="0"/>
        <w:rPr>
          <w:rFonts w:hint="eastAsia"/>
          <w:color w:val="auto"/>
          <w:highlight w:val="none"/>
          <w:lang w:val="en-US" w:eastAsia="zh-CN"/>
        </w:rPr>
        <w:sectPr>
          <w:pgSz w:w="11905" w:h="16838"/>
          <w:pgMar w:top="1304" w:right="1134" w:bottom="1134" w:left="590" w:header="851" w:footer="992" w:gutter="567"/>
          <w:pgBorders>
            <w:top w:val="none" w:sz="0" w:space="0"/>
            <w:left w:val="none" w:sz="0" w:space="0"/>
            <w:bottom w:val="none" w:sz="0" w:space="0"/>
            <w:right w:val="none" w:sz="0" w:space="0"/>
          </w:pgBorders>
          <w:pgNumType w:fmt="decimal"/>
          <w:cols w:space="720" w:num="1"/>
          <w:docGrid w:type="lines" w:linePitch="317" w:charSpace="0"/>
        </w:sectPr>
      </w:pPr>
      <w:r>
        <w:rPr>
          <w:rFonts w:hint="eastAsia" w:ascii="宋体" w:hAnsi="宋体" w:eastAsia="宋体"/>
          <w:b/>
          <w:color w:val="auto"/>
          <w:sz w:val="21"/>
          <w:szCs w:val="21"/>
          <w:highlight w:val="none"/>
          <w:lang w:val="en-US" w:eastAsia="zh-CN"/>
        </w:rPr>
        <w:t xml:space="preserve">                                                                                       </w:t>
      </w:r>
    </w:p>
    <w:p>
      <w:pPr>
        <w:bidi w:val="0"/>
        <w:rPr>
          <w:rFonts w:hint="eastAsia" w:ascii="仿宋" w:hAnsi="仿宋" w:eastAsia="仿宋" w:cs="仿宋"/>
          <w:b/>
          <w:bCs/>
          <w:color w:val="auto"/>
          <w:kern w:val="0"/>
          <w:sz w:val="32"/>
          <w:szCs w:val="32"/>
          <w:highlight w:val="none"/>
          <w:lang w:val="en-US" w:eastAsia="zh-CN"/>
        </w:rPr>
      </w:pPr>
      <w:r>
        <w:rPr>
          <w:rFonts w:hint="eastAsia" w:ascii="宋体" w:hAnsi="宋体" w:eastAsia="宋体"/>
          <w:b/>
          <w:color w:val="auto"/>
          <w:sz w:val="21"/>
          <w:szCs w:val="21"/>
          <w:highlight w:val="none"/>
          <w:lang w:val="en-US" w:eastAsia="zh-CN"/>
        </w:rPr>
        <w:t xml:space="preserve">                    </w:t>
      </w:r>
    </w:p>
    <w:p>
      <w:pPr>
        <w:widowControl/>
        <w:jc w:val="center"/>
        <w:rPr>
          <w:rFonts w:hint="eastAsia" w:ascii="仿宋" w:hAnsi="仿宋" w:eastAsia="仿宋" w:cs="仿宋"/>
          <w:b/>
          <w:bCs/>
          <w:color w:val="auto"/>
          <w:kern w:val="0"/>
          <w:sz w:val="32"/>
          <w:szCs w:val="32"/>
          <w:highlight w:val="none"/>
          <w:lang w:val="en-US" w:eastAsia="zh-CN"/>
        </w:rPr>
      </w:pPr>
    </w:p>
    <w:p>
      <w:pPr>
        <w:pStyle w:val="3"/>
        <w:keepNext/>
        <w:keepLines/>
        <w:pageBreakBefore w:val="0"/>
        <w:widowControl w:val="0"/>
        <w:kinsoku/>
        <w:wordWrap/>
        <w:overflowPunct/>
        <w:topLinePunct w:val="0"/>
        <w:autoSpaceDE/>
        <w:autoSpaceDN/>
        <w:bidi w:val="0"/>
        <w:adjustRightInd/>
        <w:snapToGrid/>
        <w:spacing w:before="240" w:after="0" w:line="9600" w:lineRule="auto"/>
        <w:ind w:left="0" w:leftChars="0" w:right="-504" w:rightChars="-240" w:firstLine="421" w:firstLineChars="131"/>
        <w:textAlignment w:val="auto"/>
        <w:outlineLvl w:val="0"/>
        <w:rPr>
          <w:rFonts w:hint="eastAsia" w:ascii="仿宋" w:hAnsi="仿宋" w:eastAsia="仿宋" w:cs="仿宋"/>
          <w:b/>
          <w:bCs w:val="0"/>
          <w:color w:val="auto"/>
          <w:sz w:val="32"/>
          <w:szCs w:val="32"/>
          <w:highlight w:val="none"/>
          <w:lang w:val="en-US" w:eastAsia="zh-CN"/>
        </w:rPr>
        <w:sectPr>
          <w:footerReference r:id="rId18" w:type="default"/>
          <w:pgSz w:w="11905" w:h="16838"/>
          <w:pgMar w:top="1440" w:right="1797" w:bottom="1440" w:left="1797" w:header="851" w:footer="992" w:gutter="567"/>
          <w:pgBorders>
            <w:top w:val="none" w:sz="0" w:space="0"/>
            <w:left w:val="none" w:sz="0" w:space="0"/>
            <w:bottom w:val="none" w:sz="0" w:space="0"/>
            <w:right w:val="none" w:sz="0" w:space="0"/>
          </w:pgBorders>
          <w:pgNumType w:fmt="decimal"/>
          <w:cols w:space="720" w:num="1"/>
          <w:rtlGutter w:val="0"/>
          <w:docGrid w:type="lines" w:linePitch="317" w:charSpace="0"/>
        </w:sectPr>
      </w:pPr>
      <w:bookmarkStart w:id="377" w:name="_Toc1416"/>
      <w:r>
        <w:rPr>
          <w:rFonts w:hint="eastAsia" w:ascii="仿宋" w:hAnsi="仿宋" w:eastAsia="仿宋" w:cs="仿宋"/>
          <w:b/>
          <w:bCs w:val="0"/>
          <w:color w:val="auto"/>
          <w:sz w:val="32"/>
          <w:szCs w:val="32"/>
          <w:highlight w:val="none"/>
        </w:rPr>
        <w:t>第三</w:t>
      </w:r>
      <w:r>
        <w:rPr>
          <w:rFonts w:hint="eastAsia" w:ascii="仿宋" w:hAnsi="仿宋" w:eastAsia="仿宋" w:cs="仿宋"/>
          <w:b/>
          <w:bCs w:val="0"/>
          <w:color w:val="auto"/>
          <w:sz w:val="32"/>
          <w:szCs w:val="32"/>
          <w:highlight w:val="none"/>
          <w:lang w:val="en-US" w:eastAsia="zh-CN"/>
        </w:rPr>
        <w:t>篇</w:t>
      </w:r>
      <w:r>
        <w:rPr>
          <w:rFonts w:hint="eastAsia" w:ascii="仿宋" w:hAnsi="仿宋" w:eastAsia="仿宋" w:cs="仿宋"/>
          <w:b/>
          <w:bCs w:val="0"/>
          <w:color w:val="auto"/>
          <w:sz w:val="32"/>
          <w:szCs w:val="32"/>
          <w:highlight w:val="none"/>
        </w:rPr>
        <w:t xml:space="preserve">  建设工程施工专业分包合同</w:t>
      </w:r>
      <w:r>
        <w:rPr>
          <w:rFonts w:hint="eastAsia" w:ascii="仿宋" w:hAnsi="仿宋" w:eastAsia="仿宋" w:cs="仿宋"/>
          <w:b/>
          <w:bCs w:val="0"/>
          <w:color w:val="auto"/>
          <w:sz w:val="32"/>
          <w:szCs w:val="32"/>
          <w:highlight w:val="none"/>
          <w:lang w:val="en-US" w:eastAsia="zh-CN"/>
        </w:rPr>
        <w:t>范本</w:t>
      </w:r>
      <w:bookmarkEnd w:id="241"/>
      <w:bookmarkEnd w:id="377"/>
    </w:p>
    <w:p>
      <w:pPr>
        <w:keepNext w:val="0"/>
        <w:keepLines w:val="0"/>
        <w:pageBreakBefore w:val="0"/>
        <w:widowControl/>
        <w:suppressLineNumbers w:val="0"/>
        <w:kinsoku/>
        <w:wordWrap/>
        <w:overflowPunct/>
        <w:topLinePunct w:val="0"/>
        <w:bidi w:val="0"/>
        <w:spacing w:line="360" w:lineRule="auto"/>
        <w:jc w:val="left"/>
        <w:rPr>
          <w:rFonts w:hint="eastAsia" w:ascii="仿宋" w:hAnsi="仿宋" w:eastAsia="仿宋" w:cs="仿宋"/>
          <w:color w:val="auto"/>
          <w:highlight w:val="none"/>
        </w:rPr>
      </w:pPr>
      <w:bookmarkStart w:id="378" w:name="_Toc20090"/>
      <w:bookmarkStart w:id="379" w:name="_Toc22400"/>
      <w:r>
        <w:rPr>
          <w:rFonts w:hint="eastAsia" w:ascii="仿宋" w:hAnsi="仿宋" w:eastAsia="仿宋" w:cs="仿宋"/>
          <w:b/>
          <w:color w:val="auto"/>
          <w:sz w:val="28"/>
          <w:szCs w:val="28"/>
          <w:highlight w:val="none"/>
        </w:rPr>
        <w:t>合同编号：</w:t>
      </w:r>
      <w:bookmarkEnd w:id="378"/>
      <w:bookmarkEnd w:id="379"/>
      <w:r>
        <w:rPr>
          <w:rFonts w:hint="eastAsia" w:ascii="仿宋" w:hAnsi="仿宋" w:eastAsia="仿宋" w:cs="仿宋"/>
          <w:color w:val="auto"/>
          <w:kern w:val="0"/>
          <w:sz w:val="31"/>
          <w:szCs w:val="31"/>
          <w:highlight w:val="none"/>
          <w:lang w:val="en-US" w:eastAsia="zh-CN"/>
        </w:rPr>
        <w:t xml:space="preserve">基层单位简称+项目简称+合同类型+ 分包合同签订年份+序号（如：三直-电缆厂-劳/专-2020-001）。 </w:t>
      </w:r>
    </w:p>
    <w:p>
      <w:pPr>
        <w:pageBreakBefore w:val="0"/>
        <w:widowControl/>
        <w:kinsoku/>
        <w:wordWrap/>
        <w:overflowPunct/>
        <w:topLinePunct w:val="0"/>
        <w:bidi w:val="0"/>
        <w:spacing w:line="360" w:lineRule="auto"/>
        <w:jc w:val="left"/>
        <w:outlineLvl w:val="9"/>
        <w:rPr>
          <w:rFonts w:hint="eastAsia" w:ascii="仿宋" w:hAnsi="仿宋" w:eastAsia="仿宋" w:cs="仿宋"/>
          <w:b/>
          <w:color w:val="auto"/>
          <w:sz w:val="28"/>
          <w:szCs w:val="28"/>
          <w:highlight w:val="none"/>
        </w:rPr>
      </w:pPr>
    </w:p>
    <w:p>
      <w:pPr>
        <w:pStyle w:val="22"/>
        <w:pageBreakBefore w:val="0"/>
        <w:kinsoku/>
        <w:wordWrap/>
        <w:overflowPunct/>
        <w:topLinePunct w:val="0"/>
        <w:bidi w:val="0"/>
        <w:spacing w:before="100" w:beforeAutospacing="1" w:after="468" w:line="360" w:lineRule="auto"/>
        <w:outlineLvl w:val="9"/>
        <w:rPr>
          <w:rFonts w:hint="eastAsia" w:ascii="仿宋" w:hAnsi="仿宋" w:eastAsia="仿宋" w:cs="仿宋"/>
          <w:b w:val="0"/>
          <w:bCs w:val="0"/>
          <w:color w:val="auto"/>
          <w:kern w:val="0"/>
          <w:sz w:val="60"/>
          <w:szCs w:val="60"/>
          <w:highlight w:val="none"/>
        </w:rPr>
      </w:pPr>
      <w:bookmarkStart w:id="380" w:name="_Toc11922750"/>
      <w:bookmarkStart w:id="381" w:name="_Toc11922657"/>
    </w:p>
    <w:p>
      <w:pPr>
        <w:pStyle w:val="22"/>
        <w:keepNext w:val="0"/>
        <w:keepLines w:val="0"/>
        <w:pageBreakBefore w:val="0"/>
        <w:widowControl/>
        <w:kinsoku/>
        <w:wordWrap/>
        <w:overflowPunct/>
        <w:topLinePunct w:val="0"/>
        <w:autoSpaceDE/>
        <w:autoSpaceDN/>
        <w:bidi w:val="0"/>
        <w:adjustRightInd/>
        <w:snapToGrid/>
        <w:spacing w:before="100" w:beforeAutospacing="1" w:after="468" w:line="360" w:lineRule="auto"/>
        <w:textAlignment w:val="auto"/>
        <w:outlineLvl w:val="9"/>
        <w:rPr>
          <w:rFonts w:hint="eastAsia" w:ascii="仿宋" w:hAnsi="仿宋" w:eastAsia="仿宋" w:cs="仿宋"/>
          <w:b/>
          <w:bCs/>
          <w:color w:val="auto"/>
          <w:kern w:val="0"/>
          <w:sz w:val="60"/>
          <w:szCs w:val="60"/>
          <w:highlight w:val="none"/>
        </w:rPr>
      </w:pPr>
      <w:bookmarkStart w:id="382" w:name="_Toc8997"/>
      <w:bookmarkStart w:id="383" w:name="_Toc20222"/>
      <w:bookmarkStart w:id="384" w:name="_Toc8074"/>
      <w:bookmarkStart w:id="385" w:name="_Toc28655"/>
      <w:bookmarkStart w:id="386" w:name="_Toc6644"/>
      <w:bookmarkStart w:id="387" w:name="_Toc3016"/>
      <w:bookmarkStart w:id="388" w:name="_Toc7266"/>
      <w:bookmarkStart w:id="389" w:name="_Toc1464"/>
      <w:bookmarkStart w:id="390" w:name="_Toc15612"/>
      <w:bookmarkStart w:id="391" w:name="_Toc19751"/>
      <w:bookmarkStart w:id="392" w:name="_Toc21044"/>
      <w:bookmarkStart w:id="393" w:name="_Toc8080"/>
      <w:bookmarkStart w:id="394" w:name="_Toc29485"/>
      <w:bookmarkStart w:id="395" w:name="_Toc13924"/>
      <w:bookmarkStart w:id="396" w:name="_Toc1752"/>
      <w:bookmarkStart w:id="397" w:name="_Toc12615"/>
      <w:r>
        <w:rPr>
          <w:rFonts w:hint="eastAsia" w:ascii="方正小标宋简体" w:hAnsi="华文仿宋" w:eastAsia="方正小标宋简体" w:cs="Times New Roman"/>
          <w:b/>
          <w:bCs/>
          <w:color w:val="auto"/>
          <w:kern w:val="0"/>
          <w:sz w:val="60"/>
          <w:szCs w:val="60"/>
          <w:highlight w:val="none"/>
        </w:rPr>
        <w:t>建设工程施工专业分包合同</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pPr>
        <w:pageBreakBefore w:val="0"/>
        <w:kinsoku/>
        <w:wordWrap/>
        <w:overflowPunct/>
        <w:topLinePunct w:val="0"/>
        <w:bidi w:val="0"/>
        <w:spacing w:line="360" w:lineRule="auto"/>
        <w:rPr>
          <w:rFonts w:hint="eastAsia" w:ascii="仿宋" w:hAnsi="仿宋" w:eastAsia="仿宋" w:cs="仿宋"/>
          <w:color w:val="auto"/>
          <w:highlight w:val="none"/>
        </w:rPr>
      </w:pPr>
    </w:p>
    <w:p>
      <w:pPr>
        <w:pageBreakBefore w:val="0"/>
        <w:kinsoku/>
        <w:wordWrap/>
        <w:overflowPunct/>
        <w:topLinePunct w:val="0"/>
        <w:bidi w:val="0"/>
        <w:spacing w:line="360" w:lineRule="auto"/>
        <w:rPr>
          <w:rFonts w:hint="eastAsia" w:ascii="仿宋" w:hAnsi="仿宋" w:eastAsia="仿宋" w:cs="仿宋"/>
          <w:color w:val="auto"/>
          <w:highlight w:val="none"/>
        </w:rPr>
      </w:pPr>
    </w:p>
    <w:p>
      <w:pPr>
        <w:pStyle w:val="11"/>
        <w:pageBreakBefore w:val="0"/>
        <w:kinsoku/>
        <w:wordWrap/>
        <w:overflowPunct/>
        <w:topLinePunct w:val="0"/>
        <w:bidi w:val="0"/>
        <w:spacing w:line="360" w:lineRule="auto"/>
        <w:rPr>
          <w:rFonts w:hint="eastAsia" w:ascii="仿宋" w:hAnsi="仿宋" w:eastAsia="仿宋" w:cs="仿宋"/>
          <w:color w:val="auto"/>
          <w:highlight w:val="none"/>
        </w:rPr>
      </w:pPr>
    </w:p>
    <w:p>
      <w:pPr>
        <w:pageBreakBefore w:val="0"/>
        <w:kinsoku/>
        <w:wordWrap/>
        <w:overflowPunct/>
        <w:topLinePunct w:val="0"/>
        <w:bidi w:val="0"/>
        <w:spacing w:line="360" w:lineRule="auto"/>
        <w:rPr>
          <w:rFonts w:hint="eastAsia" w:ascii="仿宋" w:hAnsi="仿宋" w:eastAsia="仿宋" w:cs="仿宋"/>
          <w:color w:val="auto"/>
          <w:highlight w:val="none"/>
        </w:rPr>
      </w:pPr>
    </w:p>
    <w:p>
      <w:pPr>
        <w:pageBreakBefore w:val="0"/>
        <w:kinsoku/>
        <w:wordWrap/>
        <w:overflowPunct/>
        <w:topLinePunct w:val="0"/>
        <w:bidi w:val="0"/>
        <w:spacing w:line="360" w:lineRule="auto"/>
        <w:rPr>
          <w:rFonts w:hint="eastAsia" w:ascii="仿宋" w:hAnsi="仿宋" w:eastAsia="仿宋" w:cs="仿宋"/>
          <w:color w:val="auto"/>
          <w:highlight w:val="none"/>
        </w:rPr>
      </w:pPr>
    </w:p>
    <w:p>
      <w:pPr>
        <w:pageBreakBefore w:val="0"/>
        <w:kinsoku/>
        <w:wordWrap/>
        <w:overflowPunct/>
        <w:topLinePunct w:val="0"/>
        <w:bidi w:val="0"/>
        <w:spacing w:line="360" w:lineRule="auto"/>
        <w:rPr>
          <w:rFonts w:hint="eastAsia" w:ascii="仿宋" w:hAnsi="仿宋" w:eastAsia="仿宋" w:cs="仿宋"/>
          <w:color w:val="auto"/>
          <w:highlight w:val="none"/>
        </w:rPr>
      </w:pPr>
    </w:p>
    <w:p>
      <w:pPr>
        <w:pageBreakBefore w:val="0"/>
        <w:kinsoku/>
        <w:wordWrap/>
        <w:overflowPunct/>
        <w:topLinePunct w:val="0"/>
        <w:bidi w:val="0"/>
        <w:spacing w:line="360" w:lineRule="auto"/>
        <w:rPr>
          <w:rFonts w:hint="eastAsia" w:ascii="仿宋" w:hAnsi="仿宋" w:eastAsia="仿宋" w:cs="仿宋"/>
          <w:color w:val="auto"/>
          <w:highlight w:val="none"/>
        </w:rPr>
      </w:pPr>
    </w:p>
    <w:p>
      <w:pPr>
        <w:pageBreakBefore w:val="0"/>
        <w:kinsoku/>
        <w:wordWrap/>
        <w:overflowPunct/>
        <w:topLinePunct w:val="0"/>
        <w:bidi w:val="0"/>
        <w:spacing w:line="360" w:lineRule="auto"/>
        <w:rPr>
          <w:rFonts w:hint="eastAsia" w:ascii="仿宋" w:hAnsi="仿宋" w:eastAsia="仿宋" w:cs="仿宋"/>
          <w:color w:val="auto"/>
          <w:highlight w:val="none"/>
        </w:rPr>
      </w:pPr>
    </w:p>
    <w:p>
      <w:pPr>
        <w:pageBreakBefore w:val="0"/>
        <w:kinsoku/>
        <w:wordWrap/>
        <w:overflowPunct/>
        <w:topLinePunct w:val="0"/>
        <w:bidi w:val="0"/>
        <w:spacing w:line="360" w:lineRule="auto"/>
        <w:ind w:firstLine="646" w:firstLineChars="200"/>
        <w:outlineLvl w:val="9"/>
        <w:rPr>
          <w:rFonts w:hint="eastAsia" w:ascii="仿宋" w:hAnsi="仿宋" w:eastAsia="仿宋" w:cs="仿宋"/>
          <w:color w:val="auto"/>
          <w:sz w:val="32"/>
          <w:szCs w:val="32"/>
          <w:highlight w:val="none"/>
          <w:u w:val="single"/>
        </w:rPr>
      </w:pPr>
      <w:bookmarkStart w:id="398" w:name="_Toc18883"/>
      <w:bookmarkStart w:id="399" w:name="_Toc16808"/>
      <w:r>
        <w:rPr>
          <w:rFonts w:hint="eastAsia" w:ascii="仿宋" w:hAnsi="仿宋" w:eastAsia="仿宋" w:cs="仿宋"/>
          <w:color w:val="auto"/>
          <w:sz w:val="32"/>
          <w:szCs w:val="32"/>
          <w:highlight w:val="none"/>
        </w:rPr>
        <w:t>工程名称：</w:t>
      </w:r>
      <w:bookmarkEnd w:id="398"/>
      <w:bookmarkEnd w:id="399"/>
      <w:r>
        <w:rPr>
          <w:rFonts w:hint="eastAsia" w:ascii="仿宋" w:hAnsi="仿宋" w:eastAsia="仿宋" w:cs="仿宋"/>
          <w:color w:val="auto"/>
          <w:sz w:val="32"/>
          <w:szCs w:val="32"/>
          <w:highlight w:val="none"/>
          <w:u w:val="single"/>
        </w:rPr>
        <w:t xml:space="preserve"> 绥江县保障性租赁住房建设项目防水工程 </w:t>
      </w:r>
    </w:p>
    <w:p>
      <w:pPr>
        <w:pageBreakBefore w:val="0"/>
        <w:kinsoku/>
        <w:wordWrap/>
        <w:overflowPunct/>
        <w:topLinePunct w:val="0"/>
        <w:bidi w:val="0"/>
        <w:spacing w:line="360" w:lineRule="auto"/>
        <w:ind w:firstLine="646" w:firstLineChars="200"/>
        <w:rPr>
          <w:rFonts w:hint="eastAsia" w:ascii="仿宋" w:hAnsi="仿宋" w:eastAsia="仿宋" w:cs="仿宋"/>
          <w:color w:val="auto"/>
          <w:sz w:val="32"/>
          <w:szCs w:val="32"/>
          <w:highlight w:val="none"/>
        </w:rPr>
      </w:pPr>
    </w:p>
    <w:p>
      <w:pPr>
        <w:pageBreakBefore w:val="0"/>
        <w:kinsoku/>
        <w:wordWrap/>
        <w:overflowPunct/>
        <w:topLinePunct w:val="0"/>
        <w:bidi w:val="0"/>
        <w:spacing w:line="360" w:lineRule="auto"/>
        <w:ind w:firstLine="646" w:firstLineChars="200"/>
        <w:outlineLvl w:val="9"/>
        <w:rPr>
          <w:rFonts w:hint="eastAsia" w:ascii="仿宋" w:hAnsi="仿宋" w:eastAsia="仿宋" w:cs="仿宋"/>
          <w:color w:val="auto"/>
          <w:sz w:val="32"/>
          <w:szCs w:val="32"/>
          <w:highlight w:val="none"/>
          <w:u w:val="single"/>
        </w:rPr>
      </w:pPr>
      <w:bookmarkStart w:id="400" w:name="_Toc28904"/>
      <w:bookmarkStart w:id="401" w:name="_Toc613"/>
      <w:r>
        <w:rPr>
          <w:rFonts w:hint="eastAsia" w:ascii="仿宋" w:hAnsi="仿宋" w:eastAsia="仿宋" w:cs="仿宋"/>
          <w:color w:val="auto"/>
          <w:sz w:val="32"/>
          <w:szCs w:val="32"/>
          <w:highlight w:val="none"/>
        </w:rPr>
        <w:t>工程承包人：</w:t>
      </w:r>
      <w:bookmarkEnd w:id="400"/>
      <w:bookmarkEnd w:id="401"/>
      <w:r>
        <w:rPr>
          <w:rFonts w:hint="eastAsia" w:ascii="仿宋" w:hAnsi="仿宋" w:eastAsia="仿宋" w:cs="仿宋"/>
          <w:color w:val="auto"/>
          <w:sz w:val="32"/>
          <w:szCs w:val="32"/>
          <w:highlight w:val="none"/>
          <w:u w:val="single"/>
        </w:rPr>
        <w:t xml:space="preserve">  云南建投第十建设有限公司绥江分公司  </w:t>
      </w:r>
    </w:p>
    <w:p>
      <w:pPr>
        <w:pageBreakBefore w:val="0"/>
        <w:kinsoku/>
        <w:wordWrap/>
        <w:overflowPunct/>
        <w:topLinePunct w:val="0"/>
        <w:bidi w:val="0"/>
        <w:spacing w:line="360" w:lineRule="auto"/>
        <w:ind w:firstLine="646" w:firstLineChars="200"/>
        <w:rPr>
          <w:rFonts w:hint="eastAsia" w:ascii="仿宋" w:hAnsi="仿宋" w:eastAsia="仿宋" w:cs="仿宋"/>
          <w:color w:val="auto"/>
          <w:sz w:val="32"/>
          <w:szCs w:val="32"/>
          <w:highlight w:val="none"/>
        </w:rPr>
      </w:pPr>
    </w:p>
    <w:p>
      <w:pPr>
        <w:pageBreakBefore w:val="0"/>
        <w:kinsoku/>
        <w:wordWrap/>
        <w:overflowPunct/>
        <w:topLinePunct w:val="0"/>
        <w:bidi w:val="0"/>
        <w:spacing w:line="360" w:lineRule="auto"/>
        <w:ind w:firstLine="646" w:firstLineChars="200"/>
        <w:outlineLvl w:val="9"/>
        <w:rPr>
          <w:rFonts w:hint="eastAsia" w:ascii="仿宋" w:hAnsi="仿宋" w:eastAsia="仿宋" w:cs="仿宋"/>
          <w:color w:val="auto"/>
          <w:sz w:val="32"/>
          <w:szCs w:val="32"/>
          <w:highlight w:val="none"/>
          <w:u w:val="single"/>
        </w:rPr>
      </w:pPr>
      <w:bookmarkStart w:id="402" w:name="_Toc17272"/>
      <w:bookmarkStart w:id="403" w:name="_Toc21992"/>
      <w:r>
        <w:rPr>
          <w:rFonts w:hint="eastAsia" w:ascii="仿宋" w:hAnsi="仿宋" w:eastAsia="仿宋" w:cs="仿宋"/>
          <w:color w:val="auto"/>
          <w:sz w:val="32"/>
          <w:szCs w:val="32"/>
          <w:highlight w:val="none"/>
        </w:rPr>
        <w:t>专业分包人：</w:t>
      </w:r>
      <w:bookmarkEnd w:id="402"/>
      <w:bookmarkEnd w:id="403"/>
      <w:r>
        <w:rPr>
          <w:rFonts w:hint="eastAsia" w:ascii="仿宋" w:hAnsi="仿宋" w:eastAsia="仿宋" w:cs="仿宋"/>
          <w:color w:val="auto"/>
          <w:sz w:val="32"/>
          <w:szCs w:val="32"/>
          <w:highlight w:val="none"/>
          <w:u w:val="single"/>
        </w:rPr>
        <w:t xml:space="preserve">                            </w:t>
      </w:r>
    </w:p>
    <w:p>
      <w:pPr>
        <w:pageBreakBefore w:val="0"/>
        <w:kinsoku/>
        <w:wordWrap/>
        <w:overflowPunct/>
        <w:topLinePunct w:val="0"/>
        <w:bidi w:val="0"/>
        <w:spacing w:line="360" w:lineRule="auto"/>
        <w:ind w:firstLine="646" w:firstLineChars="200"/>
        <w:rPr>
          <w:rFonts w:hint="eastAsia" w:ascii="仿宋" w:hAnsi="仿宋" w:eastAsia="仿宋" w:cs="仿宋"/>
          <w:color w:val="auto"/>
          <w:sz w:val="32"/>
          <w:szCs w:val="32"/>
          <w:highlight w:val="none"/>
        </w:rPr>
      </w:pPr>
    </w:p>
    <w:p>
      <w:pPr>
        <w:pageBreakBefore w:val="0"/>
        <w:kinsoku/>
        <w:wordWrap/>
        <w:overflowPunct/>
        <w:topLinePunct w:val="0"/>
        <w:bidi w:val="0"/>
        <w:spacing w:line="360" w:lineRule="auto"/>
        <w:ind w:firstLine="646" w:firstLineChars="200"/>
        <w:outlineLvl w:val="9"/>
        <w:rPr>
          <w:rFonts w:hint="eastAsia" w:ascii="仿宋" w:hAnsi="仿宋" w:eastAsia="仿宋" w:cs="仿宋"/>
          <w:color w:val="auto"/>
          <w:sz w:val="32"/>
          <w:szCs w:val="32"/>
          <w:highlight w:val="none"/>
        </w:rPr>
      </w:pPr>
      <w:bookmarkStart w:id="404" w:name="_Toc13277"/>
      <w:bookmarkStart w:id="405" w:name="_Toc22267"/>
      <w:r>
        <w:rPr>
          <w:rFonts w:hint="eastAsia" w:ascii="仿宋" w:hAnsi="仿宋" w:eastAsia="仿宋" w:cs="仿宋"/>
          <w:color w:val="auto"/>
          <w:sz w:val="32"/>
          <w:szCs w:val="32"/>
          <w:highlight w:val="none"/>
        </w:rPr>
        <w:t>合同签订日期：</w:t>
      </w:r>
      <w:bookmarkEnd w:id="404"/>
      <w:bookmarkEnd w:id="405"/>
      <w:r>
        <w:rPr>
          <w:rFonts w:hint="eastAsia" w:ascii="仿宋" w:hAnsi="仿宋" w:eastAsia="仿宋" w:cs="仿宋"/>
          <w:color w:val="auto"/>
          <w:sz w:val="32"/>
          <w:szCs w:val="32"/>
          <w:highlight w:val="none"/>
          <w:u w:val="single"/>
        </w:rPr>
        <w:t xml:space="preserve">                          </w:t>
      </w:r>
    </w:p>
    <w:p>
      <w:pPr>
        <w:pageBreakBefore w:val="0"/>
        <w:kinsoku/>
        <w:wordWrap/>
        <w:overflowPunct/>
        <w:topLinePunct w:val="0"/>
        <w:bidi w:val="0"/>
        <w:spacing w:line="360" w:lineRule="auto"/>
        <w:rPr>
          <w:rFonts w:hint="eastAsia" w:ascii="仿宋" w:hAnsi="仿宋" w:eastAsia="仿宋" w:cs="仿宋"/>
          <w:color w:val="auto"/>
          <w:sz w:val="24"/>
          <w:szCs w:val="24"/>
          <w:highlight w:val="none"/>
        </w:rPr>
        <w:sectPr>
          <w:footerReference r:id="rId19" w:type="default"/>
          <w:pgSz w:w="11906" w:h="16838"/>
          <w:pgMar w:top="1440" w:right="1797" w:bottom="1440" w:left="1797" w:header="1134" w:footer="1134" w:gutter="0"/>
          <w:pgBorders>
            <w:top w:val="none" w:sz="0" w:space="0"/>
            <w:left w:val="none" w:sz="0" w:space="0"/>
            <w:bottom w:val="none" w:sz="0" w:space="0"/>
            <w:right w:val="none" w:sz="0" w:space="0"/>
          </w:pgBorders>
          <w:pgNumType w:fmt="decimal" w:start="1"/>
          <w:cols w:space="720" w:num="1"/>
          <w:rtlGutter w:val="0"/>
          <w:docGrid w:type="linesAndChars" w:linePitch="319" w:charSpace="640"/>
        </w:sectPr>
      </w:pPr>
    </w:p>
    <w:p>
      <w:pPr>
        <w:pageBreakBefore w:val="0"/>
        <w:kinsoku/>
        <w:wordWrap/>
        <w:overflowPunct/>
        <w:topLinePunct w:val="0"/>
        <w:bidi w:val="0"/>
        <w:spacing w:line="360" w:lineRule="auto"/>
        <w:jc w:val="center"/>
        <w:outlineLvl w:val="9"/>
        <w:rPr>
          <w:rFonts w:hint="eastAsia" w:ascii="仿宋_GB2312" w:hAnsi="仿宋_GB2312" w:eastAsia="仿宋_GB2312" w:cs="仿宋_GB2312"/>
          <w:color w:val="auto"/>
          <w:sz w:val="32"/>
          <w:szCs w:val="32"/>
          <w:highlight w:val="none"/>
          <w:lang w:val="en-US" w:eastAsia="zh-CN"/>
        </w:rPr>
      </w:pPr>
    </w:p>
    <w:p>
      <w:pPr>
        <w:pStyle w:val="13"/>
        <w:bidi w:val="0"/>
        <w:jc w:val="center"/>
        <w:rPr>
          <w:rFonts w:hint="eastAsia"/>
          <w:color w:val="auto"/>
          <w:highlight w:val="none"/>
          <w:lang w:val="en-US" w:eastAsia="zh-CN"/>
        </w:rPr>
      </w:pPr>
      <w:r>
        <w:rPr>
          <w:rFonts w:hint="eastAsia" w:ascii="黑体" w:hAnsi="黑体" w:eastAsia="黑体" w:cs="黑体"/>
          <w:color w:val="auto"/>
          <w:sz w:val="40"/>
          <w:szCs w:val="40"/>
          <w:highlight w:val="none"/>
          <w:lang w:val="en-US" w:eastAsia="zh-CN"/>
        </w:rPr>
        <w:t>目录</w:t>
      </w:r>
      <w:r>
        <w:rPr>
          <w:rFonts w:hint="eastAsia"/>
          <w:color w:val="auto"/>
          <w:highlight w:val="none"/>
        </w:rPr>
        <w:fldChar w:fldCharType="begin"/>
      </w:r>
      <w:r>
        <w:rPr>
          <w:rFonts w:hint="eastAsia"/>
          <w:color w:val="auto"/>
          <w:highlight w:val="none"/>
        </w:rPr>
        <w:instrText xml:space="preserve">TOC \o "1-3" \f \h</w:instrText>
      </w:r>
      <w:r>
        <w:rPr>
          <w:rFonts w:hint="eastAsia"/>
          <w:color w:val="auto"/>
          <w:highlight w:val="none"/>
        </w:rPr>
        <w:fldChar w:fldCharType="separate"/>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_Toc23021 </w:instrText>
      </w:r>
      <w:r>
        <w:rPr>
          <w:rFonts w:hint="eastAsia"/>
          <w:color w:val="auto"/>
          <w:highlight w:val="none"/>
        </w:rPr>
        <w:fldChar w:fldCharType="separate"/>
      </w:r>
      <w:r>
        <w:rPr>
          <w:rFonts w:hint="eastAsia"/>
          <w:color w:val="auto"/>
          <w:highlight w:val="none"/>
        </w:rPr>
        <w:t>第一部分  协 议 书</w:t>
      </w:r>
      <w:r>
        <w:rPr>
          <w:color w:val="auto"/>
          <w:highlight w:val="none"/>
        </w:rPr>
        <w:tab/>
      </w:r>
      <w:r>
        <w:rPr>
          <w:color w:val="auto"/>
          <w:highlight w:val="none"/>
        </w:rPr>
        <w:fldChar w:fldCharType="begin"/>
      </w:r>
      <w:r>
        <w:rPr>
          <w:color w:val="auto"/>
          <w:highlight w:val="none"/>
        </w:rPr>
        <w:instrText xml:space="preserve"> PAGEREF _Toc23021 \h </w:instrText>
      </w:r>
      <w:r>
        <w:rPr>
          <w:color w:val="auto"/>
          <w:highlight w:val="none"/>
        </w:rPr>
        <w:fldChar w:fldCharType="separate"/>
      </w:r>
      <w:r>
        <w:rPr>
          <w:color w:val="auto"/>
          <w:highlight w:val="none"/>
        </w:rPr>
        <w:t>3</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_Toc10717 </w:instrText>
      </w:r>
      <w:r>
        <w:rPr>
          <w:rFonts w:hint="eastAsia"/>
          <w:color w:val="auto"/>
          <w:highlight w:val="none"/>
        </w:rPr>
        <w:fldChar w:fldCharType="separate"/>
      </w:r>
      <w:r>
        <w:rPr>
          <w:rFonts w:hint="eastAsia"/>
          <w:color w:val="auto"/>
          <w:highlight w:val="none"/>
        </w:rPr>
        <w:t>第二部分  通用条款</w:t>
      </w:r>
      <w:r>
        <w:rPr>
          <w:color w:val="auto"/>
          <w:highlight w:val="none"/>
        </w:rPr>
        <w:tab/>
      </w:r>
      <w:r>
        <w:rPr>
          <w:color w:val="auto"/>
          <w:highlight w:val="none"/>
        </w:rPr>
        <w:fldChar w:fldCharType="begin"/>
      </w:r>
      <w:r>
        <w:rPr>
          <w:color w:val="auto"/>
          <w:highlight w:val="none"/>
        </w:rPr>
        <w:instrText xml:space="preserve"> PAGEREF _Toc10717 \h </w:instrText>
      </w:r>
      <w:r>
        <w:rPr>
          <w:color w:val="auto"/>
          <w:highlight w:val="none"/>
        </w:rPr>
        <w:fldChar w:fldCharType="separate"/>
      </w:r>
      <w:r>
        <w:rPr>
          <w:color w:val="auto"/>
          <w:highlight w:val="none"/>
        </w:rPr>
        <w:t>6</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_Toc29348 </w:instrText>
      </w:r>
      <w:r>
        <w:rPr>
          <w:rFonts w:hint="eastAsia"/>
          <w:color w:val="auto"/>
          <w:highlight w:val="none"/>
        </w:rPr>
        <w:fldChar w:fldCharType="separate"/>
      </w:r>
      <w:r>
        <w:rPr>
          <w:rFonts w:hint="eastAsia"/>
          <w:color w:val="auto"/>
          <w:highlight w:val="none"/>
        </w:rPr>
        <w:t>一、词语定义及合同文件</w:t>
      </w:r>
      <w:r>
        <w:rPr>
          <w:color w:val="auto"/>
          <w:highlight w:val="none"/>
        </w:rPr>
        <w:tab/>
      </w:r>
      <w:r>
        <w:rPr>
          <w:color w:val="auto"/>
          <w:highlight w:val="none"/>
        </w:rPr>
        <w:fldChar w:fldCharType="begin"/>
      </w:r>
      <w:r>
        <w:rPr>
          <w:color w:val="auto"/>
          <w:highlight w:val="none"/>
        </w:rPr>
        <w:instrText xml:space="preserve"> PAGEREF _Toc29348 \h </w:instrText>
      </w:r>
      <w:r>
        <w:rPr>
          <w:color w:val="auto"/>
          <w:highlight w:val="none"/>
        </w:rPr>
        <w:fldChar w:fldCharType="separate"/>
      </w:r>
      <w:r>
        <w:rPr>
          <w:color w:val="auto"/>
          <w:highlight w:val="none"/>
        </w:rPr>
        <w:t>6</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_Toc30780 </w:instrText>
      </w:r>
      <w:r>
        <w:rPr>
          <w:rFonts w:hint="eastAsia"/>
          <w:color w:val="auto"/>
          <w:highlight w:val="none"/>
        </w:rPr>
        <w:fldChar w:fldCharType="separate"/>
      </w:r>
      <w:r>
        <w:rPr>
          <w:rFonts w:hint="eastAsia"/>
          <w:color w:val="auto"/>
          <w:highlight w:val="none"/>
        </w:rPr>
        <w:t>二、双方一般权利和义务</w:t>
      </w:r>
      <w:r>
        <w:rPr>
          <w:color w:val="auto"/>
          <w:highlight w:val="none"/>
        </w:rPr>
        <w:tab/>
      </w:r>
      <w:r>
        <w:rPr>
          <w:color w:val="auto"/>
          <w:highlight w:val="none"/>
        </w:rPr>
        <w:fldChar w:fldCharType="begin"/>
      </w:r>
      <w:r>
        <w:rPr>
          <w:color w:val="auto"/>
          <w:highlight w:val="none"/>
        </w:rPr>
        <w:instrText xml:space="preserve"> PAGEREF _Toc30780 \h </w:instrText>
      </w:r>
      <w:r>
        <w:rPr>
          <w:color w:val="auto"/>
          <w:highlight w:val="none"/>
        </w:rPr>
        <w:fldChar w:fldCharType="separate"/>
      </w:r>
      <w:r>
        <w:rPr>
          <w:color w:val="auto"/>
          <w:highlight w:val="none"/>
        </w:rPr>
        <w:t>9</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_Toc27296 </w:instrText>
      </w:r>
      <w:r>
        <w:rPr>
          <w:rFonts w:hint="eastAsia"/>
          <w:color w:val="auto"/>
          <w:highlight w:val="none"/>
        </w:rPr>
        <w:fldChar w:fldCharType="separate"/>
      </w:r>
      <w:r>
        <w:rPr>
          <w:rFonts w:hint="eastAsia"/>
          <w:color w:val="auto"/>
          <w:highlight w:val="none"/>
        </w:rPr>
        <w:t>三、工期</w:t>
      </w:r>
      <w:r>
        <w:rPr>
          <w:color w:val="auto"/>
          <w:highlight w:val="none"/>
        </w:rPr>
        <w:tab/>
      </w:r>
      <w:r>
        <w:rPr>
          <w:color w:val="auto"/>
          <w:highlight w:val="none"/>
        </w:rPr>
        <w:fldChar w:fldCharType="begin"/>
      </w:r>
      <w:r>
        <w:rPr>
          <w:color w:val="auto"/>
          <w:highlight w:val="none"/>
        </w:rPr>
        <w:instrText xml:space="preserve"> PAGEREF _Toc27296 \h </w:instrText>
      </w:r>
      <w:r>
        <w:rPr>
          <w:color w:val="auto"/>
          <w:highlight w:val="none"/>
        </w:rPr>
        <w:fldChar w:fldCharType="separate"/>
      </w:r>
      <w:r>
        <w:rPr>
          <w:color w:val="auto"/>
          <w:highlight w:val="none"/>
        </w:rPr>
        <w:t>13</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_Toc24863 </w:instrText>
      </w:r>
      <w:r>
        <w:rPr>
          <w:rFonts w:hint="eastAsia"/>
          <w:color w:val="auto"/>
          <w:highlight w:val="none"/>
        </w:rPr>
        <w:fldChar w:fldCharType="separate"/>
      </w:r>
      <w:r>
        <w:rPr>
          <w:rFonts w:hint="eastAsia"/>
          <w:color w:val="auto"/>
          <w:highlight w:val="none"/>
        </w:rPr>
        <w:t>四、质量与安全</w:t>
      </w:r>
      <w:r>
        <w:rPr>
          <w:color w:val="auto"/>
          <w:highlight w:val="none"/>
        </w:rPr>
        <w:tab/>
      </w:r>
      <w:r>
        <w:rPr>
          <w:color w:val="auto"/>
          <w:highlight w:val="none"/>
        </w:rPr>
        <w:fldChar w:fldCharType="begin"/>
      </w:r>
      <w:r>
        <w:rPr>
          <w:color w:val="auto"/>
          <w:highlight w:val="none"/>
        </w:rPr>
        <w:instrText xml:space="preserve"> PAGEREF _Toc24863 \h </w:instrText>
      </w:r>
      <w:r>
        <w:rPr>
          <w:color w:val="auto"/>
          <w:highlight w:val="none"/>
        </w:rPr>
        <w:fldChar w:fldCharType="separate"/>
      </w:r>
      <w:r>
        <w:rPr>
          <w:color w:val="auto"/>
          <w:highlight w:val="none"/>
        </w:rPr>
        <w:t>14</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_Toc20239 </w:instrText>
      </w:r>
      <w:r>
        <w:rPr>
          <w:rFonts w:hint="eastAsia"/>
          <w:color w:val="auto"/>
          <w:highlight w:val="none"/>
        </w:rPr>
        <w:fldChar w:fldCharType="separate"/>
      </w:r>
      <w:r>
        <w:rPr>
          <w:rFonts w:hint="eastAsia"/>
          <w:color w:val="auto"/>
          <w:highlight w:val="none"/>
        </w:rPr>
        <w:t>五、合同价款与支付</w:t>
      </w:r>
      <w:r>
        <w:rPr>
          <w:color w:val="auto"/>
          <w:highlight w:val="none"/>
        </w:rPr>
        <w:tab/>
      </w:r>
      <w:r>
        <w:rPr>
          <w:color w:val="auto"/>
          <w:highlight w:val="none"/>
        </w:rPr>
        <w:fldChar w:fldCharType="begin"/>
      </w:r>
      <w:r>
        <w:rPr>
          <w:color w:val="auto"/>
          <w:highlight w:val="none"/>
        </w:rPr>
        <w:instrText xml:space="preserve"> PAGEREF _Toc20239 \h </w:instrText>
      </w:r>
      <w:r>
        <w:rPr>
          <w:color w:val="auto"/>
          <w:highlight w:val="none"/>
        </w:rPr>
        <w:fldChar w:fldCharType="separate"/>
      </w:r>
      <w:r>
        <w:rPr>
          <w:color w:val="auto"/>
          <w:highlight w:val="none"/>
        </w:rPr>
        <w:t>14</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_Toc8617 </w:instrText>
      </w:r>
      <w:r>
        <w:rPr>
          <w:rFonts w:hint="eastAsia"/>
          <w:color w:val="auto"/>
          <w:highlight w:val="none"/>
        </w:rPr>
        <w:fldChar w:fldCharType="separate"/>
      </w:r>
      <w:r>
        <w:rPr>
          <w:rFonts w:hint="eastAsia"/>
          <w:color w:val="auto"/>
          <w:highlight w:val="none"/>
        </w:rPr>
        <w:t>六、工程变更</w:t>
      </w:r>
      <w:r>
        <w:rPr>
          <w:color w:val="auto"/>
          <w:highlight w:val="none"/>
        </w:rPr>
        <w:tab/>
      </w:r>
      <w:r>
        <w:rPr>
          <w:color w:val="auto"/>
          <w:highlight w:val="none"/>
        </w:rPr>
        <w:fldChar w:fldCharType="begin"/>
      </w:r>
      <w:r>
        <w:rPr>
          <w:color w:val="auto"/>
          <w:highlight w:val="none"/>
        </w:rPr>
        <w:instrText xml:space="preserve"> PAGEREF _Toc8617 \h </w:instrText>
      </w:r>
      <w:r>
        <w:rPr>
          <w:color w:val="auto"/>
          <w:highlight w:val="none"/>
        </w:rPr>
        <w:fldChar w:fldCharType="separate"/>
      </w:r>
      <w:r>
        <w:rPr>
          <w:color w:val="auto"/>
          <w:highlight w:val="none"/>
        </w:rPr>
        <w:t>16</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_Toc25227 </w:instrText>
      </w:r>
      <w:r>
        <w:rPr>
          <w:rFonts w:hint="eastAsia"/>
          <w:color w:val="auto"/>
          <w:highlight w:val="none"/>
        </w:rPr>
        <w:fldChar w:fldCharType="separate"/>
      </w:r>
      <w:r>
        <w:rPr>
          <w:rFonts w:hint="eastAsia"/>
          <w:color w:val="auto"/>
          <w:highlight w:val="none"/>
        </w:rPr>
        <w:t>七、竣工验收及结算</w:t>
      </w:r>
      <w:r>
        <w:rPr>
          <w:color w:val="auto"/>
          <w:highlight w:val="none"/>
        </w:rPr>
        <w:tab/>
      </w:r>
      <w:r>
        <w:rPr>
          <w:color w:val="auto"/>
          <w:highlight w:val="none"/>
        </w:rPr>
        <w:fldChar w:fldCharType="begin"/>
      </w:r>
      <w:r>
        <w:rPr>
          <w:color w:val="auto"/>
          <w:highlight w:val="none"/>
        </w:rPr>
        <w:instrText xml:space="preserve"> PAGEREF _Toc25227 \h </w:instrText>
      </w:r>
      <w:r>
        <w:rPr>
          <w:color w:val="auto"/>
          <w:highlight w:val="none"/>
        </w:rPr>
        <w:fldChar w:fldCharType="separate"/>
      </w:r>
      <w:r>
        <w:rPr>
          <w:color w:val="auto"/>
          <w:highlight w:val="none"/>
        </w:rPr>
        <w:t>16</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_Toc3078 </w:instrText>
      </w:r>
      <w:r>
        <w:rPr>
          <w:rFonts w:hint="eastAsia"/>
          <w:color w:val="auto"/>
          <w:highlight w:val="none"/>
        </w:rPr>
        <w:fldChar w:fldCharType="separate"/>
      </w:r>
      <w:r>
        <w:rPr>
          <w:rFonts w:hint="eastAsia"/>
          <w:color w:val="auto"/>
          <w:highlight w:val="none"/>
        </w:rPr>
        <w:t>八、违约、索赔及争议</w:t>
      </w:r>
      <w:r>
        <w:rPr>
          <w:color w:val="auto"/>
          <w:highlight w:val="none"/>
        </w:rPr>
        <w:tab/>
      </w:r>
      <w:r>
        <w:rPr>
          <w:color w:val="auto"/>
          <w:highlight w:val="none"/>
        </w:rPr>
        <w:fldChar w:fldCharType="begin"/>
      </w:r>
      <w:r>
        <w:rPr>
          <w:color w:val="auto"/>
          <w:highlight w:val="none"/>
        </w:rPr>
        <w:instrText xml:space="preserve"> PAGEREF _Toc3078 \h </w:instrText>
      </w:r>
      <w:r>
        <w:rPr>
          <w:color w:val="auto"/>
          <w:highlight w:val="none"/>
        </w:rPr>
        <w:fldChar w:fldCharType="separate"/>
      </w:r>
      <w:r>
        <w:rPr>
          <w:color w:val="auto"/>
          <w:highlight w:val="none"/>
        </w:rPr>
        <w:t>17</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_Toc18596 </w:instrText>
      </w:r>
      <w:r>
        <w:rPr>
          <w:rFonts w:hint="eastAsia"/>
          <w:color w:val="auto"/>
          <w:highlight w:val="none"/>
        </w:rPr>
        <w:fldChar w:fldCharType="separate"/>
      </w:r>
      <w:r>
        <w:rPr>
          <w:rFonts w:hint="eastAsia"/>
          <w:color w:val="auto"/>
          <w:highlight w:val="none"/>
        </w:rPr>
        <w:t>九、保障、保险及担保</w:t>
      </w:r>
      <w:r>
        <w:rPr>
          <w:color w:val="auto"/>
          <w:highlight w:val="none"/>
        </w:rPr>
        <w:tab/>
      </w:r>
      <w:r>
        <w:rPr>
          <w:color w:val="auto"/>
          <w:highlight w:val="none"/>
        </w:rPr>
        <w:fldChar w:fldCharType="begin"/>
      </w:r>
      <w:r>
        <w:rPr>
          <w:color w:val="auto"/>
          <w:highlight w:val="none"/>
        </w:rPr>
        <w:instrText xml:space="preserve"> PAGEREF _Toc18596 \h </w:instrText>
      </w:r>
      <w:r>
        <w:rPr>
          <w:color w:val="auto"/>
          <w:highlight w:val="none"/>
        </w:rPr>
        <w:fldChar w:fldCharType="separate"/>
      </w:r>
      <w:r>
        <w:rPr>
          <w:color w:val="auto"/>
          <w:highlight w:val="none"/>
        </w:rPr>
        <w:t>19</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_Toc12111 </w:instrText>
      </w:r>
      <w:r>
        <w:rPr>
          <w:rFonts w:hint="eastAsia"/>
          <w:color w:val="auto"/>
          <w:highlight w:val="none"/>
        </w:rPr>
        <w:fldChar w:fldCharType="separate"/>
      </w:r>
      <w:r>
        <w:rPr>
          <w:rFonts w:hint="eastAsia"/>
          <w:color w:val="auto"/>
          <w:highlight w:val="none"/>
        </w:rPr>
        <w:t>十、其他</w:t>
      </w:r>
      <w:r>
        <w:rPr>
          <w:color w:val="auto"/>
          <w:highlight w:val="none"/>
        </w:rPr>
        <w:tab/>
      </w:r>
      <w:r>
        <w:rPr>
          <w:color w:val="auto"/>
          <w:highlight w:val="none"/>
        </w:rPr>
        <w:fldChar w:fldCharType="begin"/>
      </w:r>
      <w:r>
        <w:rPr>
          <w:color w:val="auto"/>
          <w:highlight w:val="none"/>
        </w:rPr>
        <w:instrText xml:space="preserve"> PAGEREF _Toc12111 \h </w:instrText>
      </w:r>
      <w:r>
        <w:rPr>
          <w:color w:val="auto"/>
          <w:highlight w:val="none"/>
        </w:rPr>
        <w:fldChar w:fldCharType="separate"/>
      </w:r>
      <w:r>
        <w:rPr>
          <w:color w:val="auto"/>
          <w:highlight w:val="none"/>
        </w:rPr>
        <w:t>20</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_Toc3756 </w:instrText>
      </w:r>
      <w:r>
        <w:rPr>
          <w:rFonts w:hint="eastAsia"/>
          <w:color w:val="auto"/>
          <w:highlight w:val="none"/>
        </w:rPr>
        <w:fldChar w:fldCharType="separate"/>
      </w:r>
      <w:r>
        <w:rPr>
          <w:rFonts w:hint="eastAsia"/>
          <w:color w:val="auto"/>
          <w:highlight w:val="none"/>
        </w:rPr>
        <w:t>第三部分 专用条款</w:t>
      </w:r>
      <w:r>
        <w:rPr>
          <w:color w:val="auto"/>
          <w:highlight w:val="none"/>
        </w:rPr>
        <w:tab/>
      </w:r>
      <w:r>
        <w:rPr>
          <w:color w:val="auto"/>
          <w:highlight w:val="none"/>
        </w:rPr>
        <w:fldChar w:fldCharType="begin"/>
      </w:r>
      <w:r>
        <w:rPr>
          <w:color w:val="auto"/>
          <w:highlight w:val="none"/>
        </w:rPr>
        <w:instrText xml:space="preserve"> PAGEREF _Toc3756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_Toc15269 </w:instrText>
      </w:r>
      <w:r>
        <w:rPr>
          <w:rFonts w:hint="eastAsia"/>
          <w:color w:val="auto"/>
          <w:highlight w:val="none"/>
        </w:rPr>
        <w:fldChar w:fldCharType="separate"/>
      </w:r>
      <w:r>
        <w:rPr>
          <w:rFonts w:hint="eastAsia"/>
          <w:color w:val="auto"/>
          <w:highlight w:val="none"/>
        </w:rPr>
        <w:t>一、词语定义及合同文件</w:t>
      </w:r>
      <w:r>
        <w:rPr>
          <w:color w:val="auto"/>
          <w:highlight w:val="none"/>
        </w:rPr>
        <w:tab/>
      </w:r>
      <w:r>
        <w:rPr>
          <w:color w:val="auto"/>
          <w:highlight w:val="none"/>
        </w:rPr>
        <w:fldChar w:fldCharType="begin"/>
      </w:r>
      <w:r>
        <w:rPr>
          <w:color w:val="auto"/>
          <w:highlight w:val="none"/>
        </w:rPr>
        <w:instrText xml:space="preserve"> PAGEREF _Toc15269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_Toc1015 </w:instrText>
      </w:r>
      <w:r>
        <w:rPr>
          <w:rFonts w:hint="eastAsia"/>
          <w:color w:val="auto"/>
          <w:highlight w:val="none"/>
        </w:rPr>
        <w:fldChar w:fldCharType="separate"/>
      </w:r>
      <w:r>
        <w:rPr>
          <w:rFonts w:hint="eastAsia"/>
          <w:color w:val="auto"/>
          <w:highlight w:val="none"/>
        </w:rPr>
        <w:t>二、双方一般权利和义务</w:t>
      </w:r>
      <w:r>
        <w:rPr>
          <w:color w:val="auto"/>
          <w:highlight w:val="none"/>
        </w:rPr>
        <w:tab/>
      </w:r>
      <w:r>
        <w:rPr>
          <w:color w:val="auto"/>
          <w:highlight w:val="none"/>
        </w:rPr>
        <w:fldChar w:fldCharType="begin"/>
      </w:r>
      <w:r>
        <w:rPr>
          <w:color w:val="auto"/>
          <w:highlight w:val="none"/>
        </w:rPr>
        <w:instrText xml:space="preserve"> PAGEREF _Toc1015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_Toc27647 </w:instrText>
      </w:r>
      <w:r>
        <w:rPr>
          <w:rFonts w:hint="eastAsia"/>
          <w:color w:val="auto"/>
          <w:highlight w:val="none"/>
        </w:rPr>
        <w:fldChar w:fldCharType="separate"/>
      </w:r>
      <w:r>
        <w:rPr>
          <w:rFonts w:hint="eastAsia"/>
          <w:color w:val="auto"/>
          <w:highlight w:val="none"/>
        </w:rPr>
        <w:t>三、工期</w:t>
      </w:r>
      <w:r>
        <w:rPr>
          <w:color w:val="auto"/>
          <w:highlight w:val="none"/>
        </w:rPr>
        <w:tab/>
      </w:r>
      <w:r>
        <w:rPr>
          <w:color w:val="auto"/>
          <w:highlight w:val="none"/>
        </w:rPr>
        <w:fldChar w:fldCharType="begin"/>
      </w:r>
      <w:r>
        <w:rPr>
          <w:color w:val="auto"/>
          <w:highlight w:val="none"/>
        </w:rPr>
        <w:instrText xml:space="preserve"> PAGEREF _Toc27647 \h </w:instrText>
      </w:r>
      <w:r>
        <w:rPr>
          <w:color w:val="auto"/>
          <w:highlight w:val="none"/>
        </w:rPr>
        <w:fldChar w:fldCharType="separate"/>
      </w:r>
      <w:r>
        <w:rPr>
          <w:color w:val="auto"/>
          <w:highlight w:val="none"/>
        </w:rPr>
        <w:t>23</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_Toc9441 </w:instrText>
      </w:r>
      <w:r>
        <w:rPr>
          <w:rFonts w:hint="eastAsia"/>
          <w:color w:val="auto"/>
          <w:highlight w:val="none"/>
        </w:rPr>
        <w:fldChar w:fldCharType="separate"/>
      </w:r>
      <w:r>
        <w:rPr>
          <w:rFonts w:hint="eastAsia"/>
          <w:color w:val="auto"/>
          <w:highlight w:val="none"/>
        </w:rPr>
        <w:t>四、质量与安全</w:t>
      </w:r>
      <w:r>
        <w:rPr>
          <w:color w:val="auto"/>
          <w:highlight w:val="none"/>
        </w:rPr>
        <w:tab/>
      </w:r>
      <w:r>
        <w:rPr>
          <w:color w:val="auto"/>
          <w:highlight w:val="none"/>
        </w:rPr>
        <w:fldChar w:fldCharType="begin"/>
      </w:r>
      <w:r>
        <w:rPr>
          <w:color w:val="auto"/>
          <w:highlight w:val="none"/>
        </w:rPr>
        <w:instrText xml:space="preserve"> PAGEREF _Toc9441 \h </w:instrText>
      </w:r>
      <w:r>
        <w:rPr>
          <w:color w:val="auto"/>
          <w:highlight w:val="none"/>
        </w:rPr>
        <w:fldChar w:fldCharType="separate"/>
      </w:r>
      <w:r>
        <w:rPr>
          <w:color w:val="auto"/>
          <w:highlight w:val="none"/>
        </w:rPr>
        <w:t>24</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_Toc19322 </w:instrText>
      </w:r>
      <w:r>
        <w:rPr>
          <w:rFonts w:hint="eastAsia"/>
          <w:color w:val="auto"/>
          <w:highlight w:val="none"/>
        </w:rPr>
        <w:fldChar w:fldCharType="separate"/>
      </w:r>
      <w:r>
        <w:rPr>
          <w:rFonts w:hint="eastAsia"/>
          <w:color w:val="auto"/>
          <w:highlight w:val="none"/>
        </w:rPr>
        <w:t>五、合同价款与支付</w:t>
      </w:r>
      <w:r>
        <w:rPr>
          <w:color w:val="auto"/>
          <w:highlight w:val="none"/>
        </w:rPr>
        <w:tab/>
      </w:r>
      <w:r>
        <w:rPr>
          <w:color w:val="auto"/>
          <w:highlight w:val="none"/>
        </w:rPr>
        <w:fldChar w:fldCharType="begin"/>
      </w:r>
      <w:r>
        <w:rPr>
          <w:color w:val="auto"/>
          <w:highlight w:val="none"/>
        </w:rPr>
        <w:instrText xml:space="preserve"> PAGEREF _Toc19322 \h </w:instrText>
      </w:r>
      <w:r>
        <w:rPr>
          <w:color w:val="auto"/>
          <w:highlight w:val="none"/>
        </w:rPr>
        <w:fldChar w:fldCharType="separate"/>
      </w:r>
      <w:r>
        <w:rPr>
          <w:color w:val="auto"/>
          <w:highlight w:val="none"/>
        </w:rPr>
        <w:t>26</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_Toc14180 </w:instrText>
      </w:r>
      <w:r>
        <w:rPr>
          <w:rFonts w:hint="eastAsia"/>
          <w:color w:val="auto"/>
          <w:highlight w:val="none"/>
        </w:rPr>
        <w:fldChar w:fldCharType="separate"/>
      </w:r>
      <w:r>
        <w:rPr>
          <w:rFonts w:hint="eastAsia"/>
          <w:color w:val="auto"/>
          <w:highlight w:val="none"/>
        </w:rPr>
        <w:t>七、竣工验收及结算</w:t>
      </w:r>
      <w:r>
        <w:rPr>
          <w:color w:val="auto"/>
          <w:highlight w:val="none"/>
        </w:rPr>
        <w:tab/>
      </w:r>
      <w:r>
        <w:rPr>
          <w:color w:val="auto"/>
          <w:highlight w:val="none"/>
        </w:rPr>
        <w:fldChar w:fldCharType="begin"/>
      </w:r>
      <w:r>
        <w:rPr>
          <w:color w:val="auto"/>
          <w:highlight w:val="none"/>
        </w:rPr>
        <w:instrText xml:space="preserve"> PAGEREF _Toc14180 \h </w:instrText>
      </w:r>
      <w:r>
        <w:rPr>
          <w:color w:val="auto"/>
          <w:highlight w:val="none"/>
        </w:rPr>
        <w:fldChar w:fldCharType="separate"/>
      </w:r>
      <w:r>
        <w:rPr>
          <w:color w:val="auto"/>
          <w:highlight w:val="none"/>
        </w:rPr>
        <w:t>28</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_Toc6709 </w:instrText>
      </w:r>
      <w:r>
        <w:rPr>
          <w:rFonts w:hint="eastAsia"/>
          <w:color w:val="auto"/>
          <w:highlight w:val="none"/>
        </w:rPr>
        <w:fldChar w:fldCharType="separate"/>
      </w:r>
      <w:r>
        <w:rPr>
          <w:rFonts w:hint="eastAsia"/>
          <w:color w:val="auto"/>
          <w:highlight w:val="none"/>
        </w:rPr>
        <w:t>八、违约、索赔及争议</w:t>
      </w:r>
      <w:r>
        <w:rPr>
          <w:color w:val="auto"/>
          <w:highlight w:val="none"/>
        </w:rPr>
        <w:tab/>
      </w:r>
      <w:r>
        <w:rPr>
          <w:color w:val="auto"/>
          <w:highlight w:val="none"/>
        </w:rPr>
        <w:fldChar w:fldCharType="begin"/>
      </w:r>
      <w:r>
        <w:rPr>
          <w:color w:val="auto"/>
          <w:highlight w:val="none"/>
        </w:rPr>
        <w:instrText xml:space="preserve"> PAGEREF _Toc6709 \h </w:instrText>
      </w:r>
      <w:r>
        <w:rPr>
          <w:color w:val="auto"/>
          <w:highlight w:val="none"/>
        </w:rPr>
        <w:fldChar w:fldCharType="separate"/>
      </w:r>
      <w:r>
        <w:rPr>
          <w:color w:val="auto"/>
          <w:highlight w:val="none"/>
        </w:rPr>
        <w:t>30</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_Toc27909 </w:instrText>
      </w:r>
      <w:r>
        <w:rPr>
          <w:rFonts w:hint="eastAsia"/>
          <w:color w:val="auto"/>
          <w:highlight w:val="none"/>
        </w:rPr>
        <w:fldChar w:fldCharType="separate"/>
      </w:r>
      <w:r>
        <w:rPr>
          <w:rFonts w:hint="eastAsia"/>
          <w:color w:val="auto"/>
          <w:highlight w:val="none"/>
          <w:lang w:val="en-US" w:eastAsia="zh-CN"/>
        </w:rPr>
        <w:t>九</w:t>
      </w:r>
      <w:r>
        <w:rPr>
          <w:rFonts w:hint="eastAsia"/>
          <w:color w:val="auto"/>
          <w:highlight w:val="none"/>
        </w:rPr>
        <w:t>、保障、保险及担保</w:t>
      </w:r>
      <w:r>
        <w:rPr>
          <w:color w:val="auto"/>
          <w:highlight w:val="none"/>
        </w:rPr>
        <w:tab/>
      </w:r>
      <w:r>
        <w:rPr>
          <w:color w:val="auto"/>
          <w:highlight w:val="none"/>
        </w:rPr>
        <w:fldChar w:fldCharType="begin"/>
      </w:r>
      <w:r>
        <w:rPr>
          <w:color w:val="auto"/>
          <w:highlight w:val="none"/>
        </w:rPr>
        <w:instrText xml:space="preserve"> PAGEREF _Toc27909 \h </w:instrText>
      </w:r>
      <w:r>
        <w:rPr>
          <w:color w:val="auto"/>
          <w:highlight w:val="none"/>
        </w:rPr>
        <w:fldChar w:fldCharType="separate"/>
      </w:r>
      <w:r>
        <w:rPr>
          <w:color w:val="auto"/>
          <w:highlight w:val="none"/>
        </w:rPr>
        <w:t>31</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_Toc30204 </w:instrText>
      </w:r>
      <w:r>
        <w:rPr>
          <w:rFonts w:hint="eastAsia"/>
          <w:color w:val="auto"/>
          <w:highlight w:val="none"/>
        </w:rPr>
        <w:fldChar w:fldCharType="separate"/>
      </w:r>
      <w:r>
        <w:rPr>
          <w:rFonts w:hint="eastAsia"/>
          <w:color w:val="auto"/>
          <w:highlight w:val="none"/>
        </w:rPr>
        <w:t>十、其他</w:t>
      </w:r>
      <w:r>
        <w:rPr>
          <w:color w:val="auto"/>
          <w:highlight w:val="none"/>
        </w:rPr>
        <w:tab/>
      </w:r>
      <w:r>
        <w:rPr>
          <w:color w:val="auto"/>
          <w:highlight w:val="none"/>
        </w:rPr>
        <w:fldChar w:fldCharType="begin"/>
      </w:r>
      <w:r>
        <w:rPr>
          <w:color w:val="auto"/>
          <w:highlight w:val="none"/>
        </w:rPr>
        <w:instrText xml:space="preserve"> PAGEREF _Toc30204 \h </w:instrText>
      </w:r>
      <w:r>
        <w:rPr>
          <w:color w:val="auto"/>
          <w:highlight w:val="none"/>
        </w:rPr>
        <w:fldChar w:fldCharType="separate"/>
      </w:r>
      <w:r>
        <w:rPr>
          <w:color w:val="auto"/>
          <w:highlight w:val="none"/>
        </w:rPr>
        <w:t>31</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_Toc15699 </w:instrText>
      </w:r>
      <w:r>
        <w:rPr>
          <w:rFonts w:hint="eastAsia"/>
          <w:color w:val="auto"/>
          <w:highlight w:val="none"/>
        </w:rPr>
        <w:fldChar w:fldCharType="separate"/>
      </w:r>
      <w:r>
        <w:rPr>
          <w:rFonts w:hint="eastAsia"/>
          <w:color w:val="auto"/>
          <w:highlight w:val="none"/>
        </w:rPr>
        <w:t>附件</w:t>
      </w:r>
      <w:r>
        <w:rPr>
          <w:rFonts w:hint="eastAsia"/>
          <w:color w:val="auto"/>
          <w:highlight w:val="none"/>
          <w:lang w:val="en-US" w:eastAsia="zh-CN"/>
        </w:rPr>
        <w:t>一</w:t>
      </w:r>
      <w:r>
        <w:rPr>
          <w:rFonts w:hint="eastAsia"/>
          <w:color w:val="auto"/>
          <w:highlight w:val="none"/>
        </w:rPr>
        <w:t xml:space="preserve"> 已标价工程量清单总表</w:t>
      </w:r>
      <w:r>
        <w:rPr>
          <w:color w:val="auto"/>
          <w:highlight w:val="none"/>
        </w:rPr>
        <w:tab/>
      </w:r>
      <w:r>
        <w:rPr>
          <w:color w:val="auto"/>
          <w:highlight w:val="none"/>
        </w:rPr>
        <w:fldChar w:fldCharType="begin"/>
      </w:r>
      <w:r>
        <w:rPr>
          <w:color w:val="auto"/>
          <w:highlight w:val="none"/>
        </w:rPr>
        <w:instrText xml:space="preserve"> PAGEREF _Toc15699 \h </w:instrText>
      </w:r>
      <w:r>
        <w:rPr>
          <w:color w:val="auto"/>
          <w:highlight w:val="none"/>
        </w:rPr>
        <w:fldChar w:fldCharType="separate"/>
      </w:r>
      <w:r>
        <w:rPr>
          <w:color w:val="auto"/>
          <w:highlight w:val="none"/>
        </w:rPr>
        <w:t>36</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_Toc19786 </w:instrText>
      </w:r>
      <w:r>
        <w:rPr>
          <w:rFonts w:hint="eastAsia"/>
          <w:color w:val="auto"/>
          <w:highlight w:val="none"/>
        </w:rPr>
        <w:fldChar w:fldCharType="separate"/>
      </w:r>
      <w:r>
        <w:rPr>
          <w:rFonts w:hint="eastAsia"/>
          <w:color w:val="auto"/>
          <w:highlight w:val="none"/>
        </w:rPr>
        <w:t>附件</w:t>
      </w:r>
      <w:r>
        <w:rPr>
          <w:rFonts w:hint="eastAsia"/>
          <w:color w:val="auto"/>
          <w:highlight w:val="none"/>
          <w:lang w:val="en-US" w:eastAsia="zh-CN"/>
        </w:rPr>
        <w:t>二</w:t>
      </w:r>
      <w:r>
        <w:rPr>
          <w:rFonts w:hint="eastAsia"/>
          <w:color w:val="auto"/>
          <w:highlight w:val="none"/>
        </w:rPr>
        <w:t xml:space="preserve"> </w:t>
      </w:r>
      <w:r>
        <w:rPr>
          <w:rFonts w:hint="eastAsia"/>
          <w:color w:val="auto"/>
          <w:highlight w:val="none"/>
          <w:lang w:val="en-US" w:eastAsia="zh-CN"/>
        </w:rPr>
        <w:t>工程</w:t>
      </w:r>
      <w:r>
        <w:rPr>
          <w:rFonts w:hint="eastAsia"/>
          <w:color w:val="auto"/>
          <w:highlight w:val="none"/>
        </w:rPr>
        <w:t>承包人提供材料设备一览表</w:t>
      </w:r>
      <w:r>
        <w:rPr>
          <w:color w:val="auto"/>
          <w:highlight w:val="none"/>
        </w:rPr>
        <w:tab/>
      </w:r>
      <w:r>
        <w:rPr>
          <w:color w:val="auto"/>
          <w:highlight w:val="none"/>
        </w:rPr>
        <w:fldChar w:fldCharType="begin"/>
      </w:r>
      <w:r>
        <w:rPr>
          <w:color w:val="auto"/>
          <w:highlight w:val="none"/>
        </w:rPr>
        <w:instrText xml:space="preserve"> PAGEREF _Toc19786 \h </w:instrText>
      </w:r>
      <w:r>
        <w:rPr>
          <w:color w:val="auto"/>
          <w:highlight w:val="none"/>
        </w:rPr>
        <w:fldChar w:fldCharType="separate"/>
      </w:r>
      <w:r>
        <w:rPr>
          <w:color w:val="auto"/>
          <w:highlight w:val="none"/>
        </w:rPr>
        <w:t>37</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_Toc1372 </w:instrText>
      </w:r>
      <w:r>
        <w:rPr>
          <w:rFonts w:hint="eastAsia"/>
          <w:color w:val="auto"/>
          <w:highlight w:val="none"/>
        </w:rPr>
        <w:fldChar w:fldCharType="separate"/>
      </w:r>
      <w:r>
        <w:rPr>
          <w:rFonts w:hint="eastAsia"/>
          <w:color w:val="auto"/>
          <w:highlight w:val="none"/>
        </w:rPr>
        <w:t>附件</w:t>
      </w:r>
      <w:r>
        <w:rPr>
          <w:rFonts w:hint="eastAsia"/>
          <w:color w:val="auto"/>
          <w:highlight w:val="none"/>
          <w:lang w:val="en-US" w:eastAsia="zh-CN"/>
        </w:rPr>
        <w:t xml:space="preserve">三 </w:t>
      </w:r>
      <w:r>
        <w:rPr>
          <w:rFonts w:hint="eastAsia"/>
          <w:color w:val="auto"/>
          <w:highlight w:val="none"/>
        </w:rPr>
        <w:t>工程廉洁合同</w:t>
      </w:r>
      <w:r>
        <w:rPr>
          <w:color w:val="auto"/>
          <w:highlight w:val="none"/>
        </w:rPr>
        <w:tab/>
      </w:r>
      <w:r>
        <w:rPr>
          <w:color w:val="auto"/>
          <w:highlight w:val="none"/>
        </w:rPr>
        <w:fldChar w:fldCharType="begin"/>
      </w:r>
      <w:r>
        <w:rPr>
          <w:color w:val="auto"/>
          <w:highlight w:val="none"/>
        </w:rPr>
        <w:instrText xml:space="preserve"> PAGEREF _Toc1372 \h </w:instrText>
      </w:r>
      <w:r>
        <w:rPr>
          <w:color w:val="auto"/>
          <w:highlight w:val="none"/>
        </w:rPr>
        <w:fldChar w:fldCharType="separate"/>
      </w:r>
      <w:r>
        <w:rPr>
          <w:color w:val="auto"/>
          <w:highlight w:val="none"/>
        </w:rPr>
        <w:t>38</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_Toc6003 </w:instrText>
      </w:r>
      <w:r>
        <w:rPr>
          <w:rFonts w:hint="eastAsia"/>
          <w:color w:val="auto"/>
          <w:highlight w:val="none"/>
        </w:rPr>
        <w:fldChar w:fldCharType="separate"/>
      </w:r>
      <w:r>
        <w:rPr>
          <w:rFonts w:hint="eastAsia"/>
          <w:color w:val="auto"/>
          <w:highlight w:val="none"/>
        </w:rPr>
        <w:t>附件</w:t>
      </w:r>
      <w:r>
        <w:rPr>
          <w:rFonts w:hint="eastAsia"/>
          <w:color w:val="auto"/>
          <w:highlight w:val="none"/>
          <w:lang w:val="en-US" w:eastAsia="zh-CN"/>
        </w:rPr>
        <w:t>四</w:t>
      </w:r>
      <w:r>
        <w:rPr>
          <w:rFonts w:hint="eastAsia"/>
          <w:color w:val="auto"/>
          <w:highlight w:val="none"/>
        </w:rPr>
        <w:t xml:space="preserve"> 安全生产管理合同</w:t>
      </w:r>
      <w:r>
        <w:rPr>
          <w:color w:val="auto"/>
          <w:highlight w:val="none"/>
        </w:rPr>
        <w:tab/>
      </w:r>
      <w:r>
        <w:rPr>
          <w:color w:val="auto"/>
          <w:highlight w:val="none"/>
        </w:rPr>
        <w:fldChar w:fldCharType="begin"/>
      </w:r>
      <w:r>
        <w:rPr>
          <w:color w:val="auto"/>
          <w:highlight w:val="none"/>
        </w:rPr>
        <w:instrText xml:space="preserve"> PAGEREF _Toc6003 \h </w:instrText>
      </w:r>
      <w:r>
        <w:rPr>
          <w:color w:val="auto"/>
          <w:highlight w:val="none"/>
        </w:rPr>
        <w:fldChar w:fldCharType="separate"/>
      </w:r>
      <w:r>
        <w:rPr>
          <w:color w:val="auto"/>
          <w:highlight w:val="none"/>
        </w:rPr>
        <w:t>40</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_Toc7099 </w:instrText>
      </w:r>
      <w:r>
        <w:rPr>
          <w:rFonts w:hint="eastAsia"/>
          <w:color w:val="auto"/>
          <w:highlight w:val="none"/>
        </w:rPr>
        <w:fldChar w:fldCharType="separate"/>
      </w:r>
      <w:r>
        <w:rPr>
          <w:rFonts w:hint="eastAsia"/>
          <w:color w:val="auto"/>
          <w:highlight w:val="none"/>
        </w:rPr>
        <w:t>附件</w:t>
      </w:r>
      <w:r>
        <w:rPr>
          <w:rFonts w:hint="eastAsia"/>
          <w:color w:val="auto"/>
          <w:highlight w:val="none"/>
          <w:lang w:val="en-US" w:eastAsia="zh-CN"/>
        </w:rPr>
        <w:t>五</w:t>
      </w:r>
      <w:r>
        <w:rPr>
          <w:rFonts w:hint="eastAsia"/>
          <w:color w:val="auto"/>
          <w:highlight w:val="none"/>
        </w:rPr>
        <w:t xml:space="preserve"> 安全责任书</w:t>
      </w:r>
      <w:r>
        <w:rPr>
          <w:color w:val="auto"/>
          <w:highlight w:val="none"/>
        </w:rPr>
        <w:tab/>
      </w:r>
      <w:r>
        <w:rPr>
          <w:color w:val="auto"/>
          <w:highlight w:val="none"/>
        </w:rPr>
        <w:fldChar w:fldCharType="begin"/>
      </w:r>
      <w:r>
        <w:rPr>
          <w:color w:val="auto"/>
          <w:highlight w:val="none"/>
        </w:rPr>
        <w:instrText xml:space="preserve"> PAGEREF _Toc7099 \h </w:instrText>
      </w:r>
      <w:r>
        <w:rPr>
          <w:color w:val="auto"/>
          <w:highlight w:val="none"/>
        </w:rPr>
        <w:fldChar w:fldCharType="separate"/>
      </w:r>
      <w:r>
        <w:rPr>
          <w:color w:val="auto"/>
          <w:highlight w:val="none"/>
        </w:rPr>
        <w:t>42</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_Toc25323 </w:instrText>
      </w:r>
      <w:r>
        <w:rPr>
          <w:rFonts w:hint="eastAsia"/>
          <w:color w:val="auto"/>
          <w:highlight w:val="none"/>
        </w:rPr>
        <w:fldChar w:fldCharType="separate"/>
      </w:r>
      <w:r>
        <w:rPr>
          <w:rFonts w:hint="eastAsia"/>
          <w:color w:val="auto"/>
          <w:highlight w:val="none"/>
        </w:rPr>
        <w:t>附件</w:t>
      </w:r>
      <w:r>
        <w:rPr>
          <w:rFonts w:hint="eastAsia"/>
          <w:color w:val="auto"/>
          <w:highlight w:val="none"/>
          <w:lang w:val="en-US" w:eastAsia="zh-CN"/>
        </w:rPr>
        <w:t>六</w:t>
      </w:r>
      <w:r>
        <w:rPr>
          <w:rFonts w:hint="eastAsia"/>
          <w:color w:val="auto"/>
          <w:highlight w:val="none"/>
        </w:rPr>
        <w:t xml:space="preserve"> 环境保护责任书</w:t>
      </w:r>
      <w:r>
        <w:rPr>
          <w:color w:val="auto"/>
          <w:highlight w:val="none"/>
        </w:rPr>
        <w:tab/>
      </w:r>
      <w:r>
        <w:rPr>
          <w:color w:val="auto"/>
          <w:highlight w:val="none"/>
        </w:rPr>
        <w:fldChar w:fldCharType="begin"/>
      </w:r>
      <w:r>
        <w:rPr>
          <w:color w:val="auto"/>
          <w:highlight w:val="none"/>
        </w:rPr>
        <w:instrText xml:space="preserve"> PAGEREF _Toc25323 \h </w:instrText>
      </w:r>
      <w:r>
        <w:rPr>
          <w:color w:val="auto"/>
          <w:highlight w:val="none"/>
        </w:rPr>
        <w:fldChar w:fldCharType="separate"/>
      </w:r>
      <w:r>
        <w:rPr>
          <w:color w:val="auto"/>
          <w:highlight w:val="none"/>
        </w:rPr>
        <w:t>45</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_Toc17969 </w:instrText>
      </w:r>
      <w:r>
        <w:rPr>
          <w:rFonts w:hint="eastAsia"/>
          <w:color w:val="auto"/>
          <w:highlight w:val="none"/>
        </w:rPr>
        <w:fldChar w:fldCharType="separate"/>
      </w:r>
      <w:r>
        <w:rPr>
          <w:rFonts w:hint="eastAsia"/>
          <w:color w:val="auto"/>
          <w:highlight w:val="none"/>
        </w:rPr>
        <w:t>附件</w:t>
      </w:r>
      <w:r>
        <w:rPr>
          <w:rFonts w:hint="eastAsia"/>
          <w:color w:val="auto"/>
          <w:highlight w:val="none"/>
          <w:lang w:val="en-US" w:eastAsia="zh-CN"/>
        </w:rPr>
        <w:t>七</w:t>
      </w:r>
      <w:r>
        <w:rPr>
          <w:rFonts w:hint="eastAsia"/>
          <w:color w:val="auto"/>
          <w:highlight w:val="none"/>
        </w:rPr>
        <w:t xml:space="preserve"> </w:t>
      </w:r>
      <w:r>
        <w:rPr>
          <w:rFonts w:hint="eastAsia"/>
          <w:color w:val="auto"/>
          <w:highlight w:val="none"/>
          <w:lang w:val="en-US" w:eastAsia="zh-CN"/>
        </w:rPr>
        <w:t xml:space="preserve"> 关于农民工实名制管理的承诺函</w:t>
      </w:r>
      <w:r>
        <w:rPr>
          <w:color w:val="auto"/>
          <w:highlight w:val="none"/>
        </w:rPr>
        <w:tab/>
      </w:r>
      <w:r>
        <w:rPr>
          <w:color w:val="auto"/>
          <w:highlight w:val="none"/>
        </w:rPr>
        <w:fldChar w:fldCharType="begin"/>
      </w:r>
      <w:r>
        <w:rPr>
          <w:color w:val="auto"/>
          <w:highlight w:val="none"/>
        </w:rPr>
        <w:instrText xml:space="preserve"> PAGEREF _Toc17969 \h </w:instrText>
      </w:r>
      <w:r>
        <w:rPr>
          <w:color w:val="auto"/>
          <w:highlight w:val="none"/>
        </w:rPr>
        <w:fldChar w:fldCharType="separate"/>
      </w:r>
      <w:r>
        <w:rPr>
          <w:color w:val="auto"/>
          <w:highlight w:val="none"/>
        </w:rPr>
        <w:t>47</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_Toc4876 </w:instrText>
      </w:r>
      <w:r>
        <w:rPr>
          <w:rFonts w:hint="eastAsia"/>
          <w:color w:val="auto"/>
          <w:highlight w:val="none"/>
        </w:rPr>
        <w:fldChar w:fldCharType="separate"/>
      </w:r>
      <w:r>
        <w:rPr>
          <w:rFonts w:hint="eastAsia"/>
          <w:color w:val="auto"/>
          <w:highlight w:val="none"/>
        </w:rPr>
        <w:t>附件</w:t>
      </w:r>
      <w:r>
        <w:rPr>
          <w:rFonts w:hint="eastAsia"/>
          <w:color w:val="auto"/>
          <w:highlight w:val="none"/>
          <w:lang w:val="en-US" w:eastAsia="zh-CN"/>
        </w:rPr>
        <w:t>八</w:t>
      </w:r>
      <w:r>
        <w:rPr>
          <w:rFonts w:hint="eastAsia"/>
          <w:color w:val="auto"/>
          <w:highlight w:val="none"/>
        </w:rPr>
        <w:t xml:space="preserve"> 质量保修书</w:t>
      </w:r>
      <w:r>
        <w:rPr>
          <w:color w:val="auto"/>
          <w:highlight w:val="none"/>
        </w:rPr>
        <w:tab/>
      </w:r>
      <w:r>
        <w:rPr>
          <w:color w:val="auto"/>
          <w:highlight w:val="none"/>
        </w:rPr>
        <w:fldChar w:fldCharType="begin"/>
      </w:r>
      <w:r>
        <w:rPr>
          <w:color w:val="auto"/>
          <w:highlight w:val="none"/>
        </w:rPr>
        <w:instrText xml:space="preserve"> PAGEREF _Toc4876 \h </w:instrText>
      </w:r>
      <w:r>
        <w:rPr>
          <w:color w:val="auto"/>
          <w:highlight w:val="none"/>
        </w:rPr>
        <w:fldChar w:fldCharType="separate"/>
      </w:r>
      <w:r>
        <w:rPr>
          <w:color w:val="auto"/>
          <w:highlight w:val="none"/>
        </w:rPr>
        <w:t>49</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_Toc9445 </w:instrText>
      </w:r>
      <w:r>
        <w:rPr>
          <w:rFonts w:hint="eastAsia"/>
          <w:color w:val="auto"/>
          <w:highlight w:val="none"/>
        </w:rPr>
        <w:fldChar w:fldCharType="separate"/>
      </w:r>
      <w:r>
        <w:rPr>
          <w:rFonts w:hint="eastAsia"/>
          <w:color w:val="auto"/>
          <w:highlight w:val="none"/>
        </w:rPr>
        <w:t>附件</w:t>
      </w:r>
      <w:r>
        <w:rPr>
          <w:rFonts w:hint="eastAsia"/>
          <w:color w:val="auto"/>
          <w:highlight w:val="none"/>
          <w:lang w:val="en-US" w:eastAsia="zh-CN"/>
        </w:rPr>
        <w:t>九</w:t>
      </w:r>
      <w:r>
        <w:rPr>
          <w:rFonts w:hint="eastAsia"/>
          <w:color w:val="auto"/>
          <w:highlight w:val="none"/>
        </w:rPr>
        <w:t xml:space="preserve"> 社会治安综合治理责任书</w:t>
      </w:r>
      <w:r>
        <w:rPr>
          <w:color w:val="auto"/>
          <w:highlight w:val="none"/>
        </w:rPr>
        <w:tab/>
      </w:r>
      <w:r>
        <w:rPr>
          <w:color w:val="auto"/>
          <w:highlight w:val="none"/>
        </w:rPr>
        <w:fldChar w:fldCharType="begin"/>
      </w:r>
      <w:r>
        <w:rPr>
          <w:color w:val="auto"/>
          <w:highlight w:val="none"/>
        </w:rPr>
        <w:instrText xml:space="preserve"> PAGEREF _Toc9445 \h </w:instrText>
      </w:r>
      <w:r>
        <w:rPr>
          <w:color w:val="auto"/>
          <w:highlight w:val="none"/>
        </w:rPr>
        <w:fldChar w:fldCharType="separate"/>
      </w:r>
      <w:r>
        <w:rPr>
          <w:color w:val="auto"/>
          <w:highlight w:val="none"/>
        </w:rPr>
        <w:t>50</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_Toc12490 </w:instrText>
      </w:r>
      <w:r>
        <w:rPr>
          <w:rFonts w:hint="eastAsia"/>
          <w:color w:val="auto"/>
          <w:highlight w:val="none"/>
        </w:rPr>
        <w:fldChar w:fldCharType="separate"/>
      </w:r>
      <w:r>
        <w:rPr>
          <w:rFonts w:hint="eastAsia"/>
          <w:color w:val="auto"/>
          <w:highlight w:val="none"/>
          <w:lang w:val="en-US" w:eastAsia="zh-CN"/>
        </w:rPr>
        <w:t xml:space="preserve">附件十 </w:t>
      </w:r>
      <w:r>
        <w:rPr>
          <w:rFonts w:hint="eastAsia"/>
          <w:color w:val="auto"/>
          <w:highlight w:val="none"/>
        </w:rPr>
        <w:t>关于严禁采取停工、围堵等恶劣方式解决合同纠纷的承诺函</w:t>
      </w:r>
      <w:r>
        <w:rPr>
          <w:color w:val="auto"/>
          <w:highlight w:val="none"/>
        </w:rPr>
        <w:tab/>
      </w:r>
      <w:r>
        <w:rPr>
          <w:color w:val="auto"/>
          <w:highlight w:val="none"/>
        </w:rPr>
        <w:fldChar w:fldCharType="begin"/>
      </w:r>
      <w:r>
        <w:rPr>
          <w:color w:val="auto"/>
          <w:highlight w:val="none"/>
        </w:rPr>
        <w:instrText xml:space="preserve"> PAGEREF _Toc12490 \h </w:instrText>
      </w:r>
      <w:r>
        <w:rPr>
          <w:color w:val="auto"/>
          <w:highlight w:val="none"/>
        </w:rPr>
        <w:fldChar w:fldCharType="separate"/>
      </w:r>
      <w:r>
        <w:rPr>
          <w:color w:val="auto"/>
          <w:highlight w:val="none"/>
        </w:rPr>
        <w:t>53</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_Toc2237 </w:instrText>
      </w:r>
      <w:r>
        <w:rPr>
          <w:rFonts w:hint="eastAsia"/>
          <w:color w:val="auto"/>
          <w:highlight w:val="none"/>
        </w:rPr>
        <w:fldChar w:fldCharType="separate"/>
      </w:r>
      <w:r>
        <w:rPr>
          <w:rFonts w:hint="eastAsia"/>
          <w:color w:val="auto"/>
          <w:highlight w:val="none"/>
          <w:lang w:val="en-US" w:eastAsia="zh-CN"/>
        </w:rPr>
        <w:t>附件十一 关于供应商恶意作废发票的告知函</w:t>
      </w:r>
      <w:r>
        <w:rPr>
          <w:color w:val="auto"/>
          <w:highlight w:val="none"/>
        </w:rPr>
        <w:tab/>
      </w:r>
      <w:r>
        <w:rPr>
          <w:color w:val="auto"/>
          <w:highlight w:val="none"/>
        </w:rPr>
        <w:fldChar w:fldCharType="begin"/>
      </w:r>
      <w:r>
        <w:rPr>
          <w:color w:val="auto"/>
          <w:highlight w:val="none"/>
        </w:rPr>
        <w:instrText xml:space="preserve"> PAGEREF _Toc2237 \h </w:instrText>
      </w:r>
      <w:r>
        <w:rPr>
          <w:color w:val="auto"/>
          <w:highlight w:val="none"/>
        </w:rPr>
        <w:fldChar w:fldCharType="separate"/>
      </w:r>
      <w:r>
        <w:rPr>
          <w:color w:val="auto"/>
          <w:highlight w:val="none"/>
        </w:rPr>
        <w:t>55</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_Toc14995 </w:instrText>
      </w:r>
      <w:r>
        <w:rPr>
          <w:rFonts w:hint="eastAsia"/>
          <w:color w:val="auto"/>
          <w:highlight w:val="none"/>
        </w:rPr>
        <w:fldChar w:fldCharType="separate"/>
      </w:r>
      <w:r>
        <w:rPr>
          <w:rFonts w:hint="eastAsia"/>
          <w:color w:val="auto"/>
          <w:highlight w:val="none"/>
          <w:lang w:val="en-US" w:eastAsia="zh-CN"/>
        </w:rPr>
        <w:t>附件十二  分包人</w:t>
      </w:r>
      <w:r>
        <w:rPr>
          <w:rFonts w:hint="eastAsia"/>
          <w:color w:val="auto"/>
          <w:highlight w:val="none"/>
        </w:rPr>
        <w:t>法定代表人身份证明</w:t>
      </w:r>
      <w:r>
        <w:rPr>
          <w:color w:val="auto"/>
          <w:highlight w:val="none"/>
        </w:rPr>
        <w:tab/>
      </w:r>
      <w:r>
        <w:rPr>
          <w:color w:val="auto"/>
          <w:highlight w:val="none"/>
        </w:rPr>
        <w:fldChar w:fldCharType="begin"/>
      </w:r>
      <w:r>
        <w:rPr>
          <w:color w:val="auto"/>
          <w:highlight w:val="none"/>
        </w:rPr>
        <w:instrText xml:space="preserve"> PAGEREF _Toc14995 \h </w:instrText>
      </w:r>
      <w:r>
        <w:rPr>
          <w:color w:val="auto"/>
          <w:highlight w:val="none"/>
        </w:rPr>
        <w:fldChar w:fldCharType="separate"/>
      </w:r>
      <w:r>
        <w:rPr>
          <w:color w:val="auto"/>
          <w:highlight w:val="none"/>
        </w:rPr>
        <w:t>56</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_Toc21835 </w:instrText>
      </w:r>
      <w:r>
        <w:rPr>
          <w:rFonts w:hint="eastAsia"/>
          <w:color w:val="auto"/>
          <w:highlight w:val="none"/>
        </w:rPr>
        <w:fldChar w:fldCharType="separate"/>
      </w:r>
      <w:r>
        <w:rPr>
          <w:rFonts w:hint="eastAsia"/>
          <w:color w:val="auto"/>
          <w:highlight w:val="none"/>
        </w:rPr>
        <w:t>附件</w:t>
      </w:r>
      <w:r>
        <w:rPr>
          <w:rFonts w:hint="eastAsia"/>
          <w:color w:val="auto"/>
          <w:highlight w:val="none"/>
          <w:lang w:val="en-US" w:eastAsia="zh-CN"/>
        </w:rPr>
        <w:t>十三 授权委托书：项目经理（项目负责人）</w:t>
      </w:r>
      <w:r>
        <w:rPr>
          <w:color w:val="auto"/>
          <w:highlight w:val="none"/>
        </w:rPr>
        <w:tab/>
      </w:r>
      <w:r>
        <w:rPr>
          <w:color w:val="auto"/>
          <w:highlight w:val="none"/>
        </w:rPr>
        <w:fldChar w:fldCharType="begin"/>
      </w:r>
      <w:r>
        <w:rPr>
          <w:color w:val="auto"/>
          <w:highlight w:val="none"/>
        </w:rPr>
        <w:instrText xml:space="preserve"> PAGEREF _Toc21835 \h </w:instrText>
      </w:r>
      <w:r>
        <w:rPr>
          <w:color w:val="auto"/>
          <w:highlight w:val="none"/>
        </w:rPr>
        <w:fldChar w:fldCharType="separate"/>
      </w:r>
      <w:r>
        <w:rPr>
          <w:color w:val="auto"/>
          <w:highlight w:val="none"/>
        </w:rPr>
        <w:t>57</w:t>
      </w:r>
      <w:r>
        <w:rPr>
          <w:color w:val="auto"/>
          <w:highlight w:val="none"/>
        </w:rPr>
        <w:fldChar w:fldCharType="end"/>
      </w:r>
      <w:r>
        <w:rPr>
          <w:rFonts w:hint="eastAsia"/>
          <w:color w:val="auto"/>
          <w:highlight w:val="none"/>
        </w:rPr>
        <w:fldChar w:fldCharType="end"/>
      </w:r>
    </w:p>
    <w:p>
      <w:pPr>
        <w:pStyle w:val="13"/>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_Toc30214 </w:instrText>
      </w:r>
      <w:r>
        <w:rPr>
          <w:rFonts w:hint="eastAsia"/>
          <w:color w:val="auto"/>
          <w:highlight w:val="none"/>
        </w:rPr>
        <w:fldChar w:fldCharType="separate"/>
      </w:r>
      <w:r>
        <w:rPr>
          <w:rFonts w:hint="eastAsia"/>
          <w:color w:val="auto"/>
          <w:highlight w:val="none"/>
        </w:rPr>
        <w:t>附件</w:t>
      </w:r>
      <w:r>
        <w:rPr>
          <w:rFonts w:hint="eastAsia"/>
          <w:color w:val="auto"/>
          <w:highlight w:val="none"/>
          <w:lang w:val="en-US" w:eastAsia="zh-CN"/>
        </w:rPr>
        <w:t>十四 授权委托书：结算管理工作代表</w:t>
      </w:r>
      <w:r>
        <w:rPr>
          <w:color w:val="auto"/>
          <w:highlight w:val="none"/>
        </w:rPr>
        <w:tab/>
      </w:r>
      <w:r>
        <w:rPr>
          <w:color w:val="auto"/>
          <w:highlight w:val="none"/>
        </w:rPr>
        <w:fldChar w:fldCharType="begin"/>
      </w:r>
      <w:r>
        <w:rPr>
          <w:color w:val="auto"/>
          <w:highlight w:val="none"/>
        </w:rPr>
        <w:instrText xml:space="preserve"> PAGEREF _Toc30214 \h </w:instrText>
      </w:r>
      <w:r>
        <w:rPr>
          <w:color w:val="auto"/>
          <w:highlight w:val="none"/>
        </w:rPr>
        <w:fldChar w:fldCharType="separate"/>
      </w:r>
      <w:r>
        <w:rPr>
          <w:color w:val="auto"/>
          <w:highlight w:val="none"/>
        </w:rPr>
        <w:t>58</w:t>
      </w:r>
      <w:r>
        <w:rPr>
          <w:color w:val="auto"/>
          <w:highlight w:val="none"/>
        </w:rPr>
        <w:fldChar w:fldCharType="end"/>
      </w:r>
      <w:r>
        <w:rPr>
          <w:rFonts w:hint="eastAsia"/>
          <w:color w:val="auto"/>
          <w:highlight w:val="none"/>
        </w:rPr>
        <w:fldChar w:fldCharType="end"/>
      </w:r>
    </w:p>
    <w:p>
      <w:pPr>
        <w:pStyle w:val="13"/>
        <w:bidi w:val="0"/>
        <w:rPr>
          <w:rFonts w:hint="eastAsia" w:eastAsia="宋体"/>
          <w:color w:val="auto"/>
          <w:highlight w:val="none"/>
          <w:lang w:val="en-US" w:eastAsia="zh-CN"/>
        </w:rPr>
      </w:pPr>
      <w:r>
        <w:rPr>
          <w:rFonts w:hint="eastAsia"/>
          <w:color w:val="auto"/>
          <w:highlight w:val="none"/>
        </w:rPr>
        <w:fldChar w:fldCharType="begin"/>
      </w:r>
      <w:r>
        <w:rPr>
          <w:rFonts w:hint="eastAsia"/>
          <w:color w:val="auto"/>
          <w:highlight w:val="none"/>
        </w:rPr>
        <w:instrText xml:space="preserve"> HYPERLINK \l _Toc21408 </w:instrText>
      </w:r>
      <w:r>
        <w:rPr>
          <w:rFonts w:hint="eastAsia"/>
          <w:color w:val="auto"/>
          <w:highlight w:val="none"/>
        </w:rPr>
        <w:fldChar w:fldCharType="separate"/>
      </w:r>
      <w:r>
        <w:rPr>
          <w:rFonts w:hint="eastAsia"/>
          <w:color w:val="auto"/>
          <w:highlight w:val="none"/>
        </w:rPr>
        <w:t>附件</w:t>
      </w:r>
      <w:r>
        <w:rPr>
          <w:rFonts w:hint="eastAsia"/>
          <w:color w:val="auto"/>
          <w:highlight w:val="none"/>
          <w:lang w:val="en-US" w:eastAsia="zh-CN"/>
        </w:rPr>
        <w:t>十五 授权委托书：专职安全员</w:t>
      </w:r>
      <w:r>
        <w:rPr>
          <w:color w:val="auto"/>
          <w:highlight w:val="none"/>
        </w:rPr>
        <w:tab/>
      </w:r>
      <w:r>
        <w:rPr>
          <w:rFonts w:hint="eastAsia"/>
          <w:color w:val="auto"/>
          <w:highlight w:val="none"/>
          <w:lang w:val="en-US" w:eastAsia="zh-CN"/>
        </w:rPr>
        <w:t>5</w:t>
      </w:r>
      <w:r>
        <w:rPr>
          <w:rFonts w:hint="eastAsia"/>
          <w:color w:val="auto"/>
          <w:highlight w:val="none"/>
        </w:rPr>
        <w:fldChar w:fldCharType="end"/>
      </w:r>
      <w:r>
        <w:rPr>
          <w:rFonts w:hint="eastAsia"/>
          <w:color w:val="auto"/>
          <w:highlight w:val="none"/>
          <w:lang w:val="en-US" w:eastAsia="zh-CN"/>
        </w:rPr>
        <w:t>9</w:t>
      </w:r>
    </w:p>
    <w:p>
      <w:pPr>
        <w:pStyle w:val="13"/>
        <w:bidi w:val="0"/>
        <w:rPr>
          <w:rFonts w:hint="eastAsia"/>
          <w:color w:val="auto"/>
          <w:highlight w:val="none"/>
          <w:lang w:val="en-US" w:eastAsia="zh-CN"/>
        </w:rPr>
      </w:pPr>
      <w:r>
        <w:rPr>
          <w:rFonts w:hint="eastAsia"/>
          <w:color w:val="auto"/>
          <w:highlight w:val="none"/>
        </w:rPr>
        <w:fldChar w:fldCharType="end"/>
      </w:r>
      <w:bookmarkStart w:id="406" w:name="_Toc6623"/>
      <w:bookmarkStart w:id="407" w:name="_Toc8199"/>
      <w:bookmarkStart w:id="408" w:name="_Toc28814"/>
      <w:bookmarkStart w:id="409" w:name="_Toc23828"/>
      <w:bookmarkStart w:id="410" w:name="_Toc16877"/>
      <w:bookmarkStart w:id="411" w:name="_Toc447095733"/>
      <w:r>
        <w:rPr>
          <w:rFonts w:hint="eastAsia"/>
          <w:color w:val="auto"/>
          <w:highlight w:val="none"/>
        </w:rPr>
        <w:fldChar w:fldCharType="begin"/>
      </w:r>
      <w:r>
        <w:rPr>
          <w:rFonts w:hint="eastAsia"/>
          <w:color w:val="auto"/>
          <w:highlight w:val="none"/>
        </w:rPr>
        <w:instrText xml:space="preserve"> HYPERLINK \l _Toc21408 </w:instrText>
      </w:r>
      <w:r>
        <w:rPr>
          <w:rFonts w:hint="eastAsia"/>
          <w:color w:val="auto"/>
          <w:highlight w:val="none"/>
        </w:rPr>
        <w:fldChar w:fldCharType="separate"/>
      </w:r>
      <w:r>
        <w:rPr>
          <w:rFonts w:hint="eastAsia"/>
          <w:color w:val="auto"/>
          <w:highlight w:val="none"/>
        </w:rPr>
        <w:t>附件</w:t>
      </w:r>
      <w:r>
        <w:rPr>
          <w:rFonts w:hint="eastAsia"/>
          <w:color w:val="auto"/>
          <w:highlight w:val="none"/>
          <w:lang w:val="en-US" w:eastAsia="zh-CN"/>
        </w:rPr>
        <w:t>十六 农民工工资委托代发协议</w:t>
      </w:r>
      <w:r>
        <w:rPr>
          <w:color w:val="auto"/>
          <w:highlight w:val="none"/>
        </w:rPr>
        <w:tab/>
      </w:r>
      <w:r>
        <w:rPr>
          <w:rFonts w:hint="eastAsia"/>
          <w:color w:val="auto"/>
          <w:highlight w:val="none"/>
          <w:lang w:val="en-US" w:eastAsia="zh-CN"/>
        </w:rPr>
        <w:t>6</w:t>
      </w:r>
      <w:r>
        <w:rPr>
          <w:rFonts w:hint="eastAsia"/>
          <w:color w:val="auto"/>
          <w:highlight w:val="none"/>
        </w:rPr>
        <w:fldChar w:fldCharType="end"/>
      </w:r>
      <w:r>
        <w:rPr>
          <w:rFonts w:hint="eastAsia"/>
          <w:color w:val="auto"/>
          <w:highlight w:val="none"/>
          <w:lang w:val="en-US" w:eastAsia="zh-CN"/>
        </w:rPr>
        <w:t>0</w:t>
      </w:r>
    </w:p>
    <w:p>
      <w:pPr>
        <w:pStyle w:val="13"/>
        <w:bidi w:val="0"/>
        <w:rPr>
          <w:rFonts w:hint="eastAsia"/>
          <w:color w:val="auto"/>
          <w:highlight w:val="none"/>
          <w:lang w:val="en-US" w:eastAsia="zh-CN"/>
        </w:rPr>
      </w:pPr>
      <w:r>
        <w:rPr>
          <w:rFonts w:hint="eastAsia"/>
          <w:color w:val="auto"/>
          <w:highlight w:val="none"/>
        </w:rPr>
        <w:fldChar w:fldCharType="begin"/>
      </w:r>
      <w:r>
        <w:rPr>
          <w:rFonts w:hint="eastAsia"/>
          <w:color w:val="auto"/>
          <w:highlight w:val="none"/>
        </w:rPr>
        <w:instrText xml:space="preserve"> HYPERLINK \l _Toc21408 </w:instrText>
      </w:r>
      <w:r>
        <w:rPr>
          <w:rFonts w:hint="eastAsia"/>
          <w:color w:val="auto"/>
          <w:highlight w:val="none"/>
        </w:rPr>
        <w:fldChar w:fldCharType="separate"/>
      </w:r>
      <w:r>
        <w:rPr>
          <w:rFonts w:hint="eastAsia"/>
          <w:color w:val="auto"/>
          <w:highlight w:val="none"/>
        </w:rPr>
        <w:t>附件</w:t>
      </w:r>
      <w:r>
        <w:rPr>
          <w:rFonts w:hint="eastAsia"/>
          <w:color w:val="auto"/>
          <w:highlight w:val="none"/>
          <w:lang w:val="en-US" w:eastAsia="zh-CN"/>
        </w:rPr>
        <w:t>十七 告知书</w:t>
      </w:r>
      <w:r>
        <w:rPr>
          <w:color w:val="auto"/>
          <w:highlight w:val="none"/>
        </w:rPr>
        <w:tab/>
      </w:r>
      <w:r>
        <w:rPr>
          <w:rFonts w:hint="eastAsia"/>
          <w:color w:val="auto"/>
          <w:highlight w:val="none"/>
          <w:lang w:val="en-US" w:eastAsia="zh-CN"/>
        </w:rPr>
        <w:t>6</w:t>
      </w:r>
      <w:r>
        <w:rPr>
          <w:rFonts w:hint="eastAsia"/>
          <w:color w:val="auto"/>
          <w:highlight w:val="none"/>
        </w:rPr>
        <w:fldChar w:fldCharType="end"/>
      </w:r>
      <w:r>
        <w:rPr>
          <w:rFonts w:hint="eastAsia"/>
          <w:color w:val="auto"/>
          <w:highlight w:val="none"/>
          <w:lang w:val="en-US" w:eastAsia="zh-CN"/>
        </w:rPr>
        <w:t>2</w:t>
      </w:r>
    </w:p>
    <w:p>
      <w:pPr>
        <w:rPr>
          <w:rFonts w:hint="eastAsia"/>
          <w:color w:val="auto"/>
          <w:highlight w:val="none"/>
          <w:lang w:val="en-US" w:eastAsia="zh-CN"/>
        </w:rPr>
      </w:pPr>
    </w:p>
    <w:p>
      <w:pPr>
        <w:rPr>
          <w:rFonts w:hint="eastAsia"/>
          <w:color w:val="auto"/>
          <w:highlight w:val="none"/>
          <w:lang w:val="en-US" w:eastAsia="zh-CN"/>
        </w:rPr>
        <w:sectPr>
          <w:footerReference r:id="rId20" w:type="default"/>
          <w:pgSz w:w="11906" w:h="16838"/>
          <w:pgMar w:top="1440" w:right="1797" w:bottom="1440" w:left="1797" w:header="1134" w:footer="1134" w:gutter="0"/>
          <w:pgBorders>
            <w:top w:val="none" w:sz="0" w:space="0"/>
            <w:left w:val="none" w:sz="0" w:space="0"/>
            <w:bottom w:val="none" w:sz="0" w:space="0"/>
            <w:right w:val="none" w:sz="0" w:space="0"/>
          </w:pgBorders>
          <w:pgNumType w:fmt="decimal" w:start="1"/>
          <w:cols w:space="720" w:num="1"/>
          <w:rtlGutter w:val="0"/>
          <w:docGrid w:type="linesAndChars" w:linePitch="319" w:charSpace="640"/>
        </w:sectPr>
      </w:pPr>
    </w:p>
    <w:p>
      <w:pPr>
        <w:pStyle w:val="4"/>
        <w:bidi w:val="0"/>
        <w:jc w:val="center"/>
        <w:outlineLvl w:val="1"/>
        <w:rPr>
          <w:rFonts w:hint="eastAsia"/>
          <w:color w:val="auto"/>
          <w:highlight w:val="none"/>
        </w:rPr>
      </w:pPr>
      <w:bookmarkStart w:id="412" w:name="_Toc4575"/>
      <w:bookmarkStart w:id="413" w:name="_Toc27872"/>
      <w:bookmarkStart w:id="414" w:name="_Toc24388"/>
      <w:bookmarkStart w:id="415" w:name="_Toc8185"/>
      <w:bookmarkStart w:id="416" w:name="_Toc17602"/>
      <w:bookmarkStart w:id="417" w:name="_Toc8210"/>
      <w:bookmarkStart w:id="418" w:name="_Toc3838"/>
      <w:bookmarkStart w:id="419" w:name="_Toc879"/>
      <w:bookmarkStart w:id="420" w:name="_Toc13558"/>
      <w:bookmarkStart w:id="421" w:name="_Toc23021"/>
      <w:bookmarkStart w:id="422" w:name="_Toc9048"/>
      <w:bookmarkStart w:id="423" w:name="_Toc11922658"/>
      <w:bookmarkStart w:id="424" w:name="_Toc14345"/>
      <w:bookmarkStart w:id="425" w:name="_Toc22014"/>
      <w:bookmarkStart w:id="426" w:name="_Toc21443"/>
      <w:bookmarkStart w:id="427" w:name="_Toc285"/>
      <w:bookmarkStart w:id="428" w:name="_Toc4427"/>
      <w:bookmarkStart w:id="429" w:name="_Toc2429"/>
      <w:bookmarkStart w:id="430" w:name="_Toc9377"/>
      <w:r>
        <w:rPr>
          <w:rFonts w:hint="eastAsia"/>
          <w:color w:val="auto"/>
          <w:highlight w:val="none"/>
        </w:rPr>
        <w:t>第一部分  协 议 书</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pPr>
        <w:pageBreakBefore w:val="0"/>
        <w:kinsoku/>
        <w:wordWrap/>
        <w:overflowPunct/>
        <w:topLinePunct w:val="0"/>
        <w:bidi w:val="0"/>
        <w:adjustRightInd w:val="0"/>
        <w:snapToGrid w:val="0"/>
        <w:spacing w:line="360" w:lineRule="auto"/>
        <w:rPr>
          <w:rFonts w:hint="eastAsia" w:ascii="仿宋_GB2312" w:hAnsi="仿宋_GB2312" w:eastAsia="仿宋_GB2312" w:cs="仿宋_GB2312"/>
          <w:color w:val="auto"/>
          <w:sz w:val="30"/>
          <w:szCs w:val="30"/>
          <w:highlight w:val="none"/>
        </w:rPr>
      </w:pP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工程承包人（全称）：</w:t>
      </w:r>
      <w:r>
        <w:rPr>
          <w:rFonts w:hint="eastAsia" w:ascii="仿宋_GB2312" w:hAnsi="仿宋_GB2312" w:eastAsia="仿宋_GB2312" w:cs="仿宋_GB2312"/>
          <w:color w:val="auto"/>
          <w:sz w:val="24"/>
          <w:szCs w:val="24"/>
          <w:highlight w:val="none"/>
          <w:u w:val="single"/>
        </w:rPr>
        <w:t xml:space="preserve"> 云南建投第十建设有限公司绥江分公司  </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专业分包人（全称）：</w:t>
      </w:r>
      <w:r>
        <w:rPr>
          <w:rFonts w:hint="eastAsia" w:ascii="仿宋_GB2312" w:hAnsi="仿宋_GB2312" w:eastAsia="仿宋_GB2312" w:cs="仿宋_GB2312"/>
          <w:color w:val="auto"/>
          <w:sz w:val="24"/>
          <w:szCs w:val="24"/>
          <w:highlight w:val="none"/>
          <w:u w:val="single"/>
        </w:rPr>
        <w:t xml:space="preserve">                                    </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依照《中华人民共和国</w:t>
      </w:r>
      <w:r>
        <w:rPr>
          <w:rFonts w:hint="eastAsia" w:ascii="仿宋_GB2312" w:hAnsi="仿宋_GB2312" w:eastAsia="仿宋_GB2312" w:cs="仿宋_GB2312"/>
          <w:color w:val="auto"/>
          <w:sz w:val="24"/>
          <w:szCs w:val="24"/>
          <w:highlight w:val="none"/>
          <w:lang w:val="en-US" w:eastAsia="zh-CN"/>
        </w:rPr>
        <w:t>民法典</w:t>
      </w:r>
      <w:r>
        <w:rPr>
          <w:rFonts w:hint="eastAsia" w:ascii="仿宋_GB2312" w:hAnsi="仿宋_GB2312" w:eastAsia="仿宋_GB2312" w:cs="仿宋_GB2312"/>
          <w:color w:val="auto"/>
          <w:sz w:val="24"/>
          <w:szCs w:val="24"/>
          <w:highlight w:val="none"/>
        </w:rPr>
        <w:t>》、《中华人民共和国建筑法》及其它有关法律、行政法规，遵循平等、自愿、公平和诚实信用的原则，鉴于</w:t>
      </w:r>
      <w:r>
        <w:rPr>
          <w:rFonts w:hint="eastAsia" w:ascii="仿宋_GB2312" w:hAnsi="仿宋_GB2312" w:eastAsia="仿宋_GB2312" w:cs="仿宋_GB2312"/>
          <w:color w:val="auto"/>
          <w:sz w:val="24"/>
          <w:szCs w:val="24"/>
          <w:highlight w:val="none"/>
          <w:u w:val="single"/>
        </w:rPr>
        <w:t xml:space="preserve"> 绥江县南岸镇人民政府    </w:t>
      </w:r>
      <w:r>
        <w:rPr>
          <w:rFonts w:hint="eastAsia" w:ascii="仿宋_GB2312" w:hAnsi="仿宋_GB2312" w:eastAsia="仿宋_GB2312" w:cs="仿宋_GB2312"/>
          <w:color w:val="auto"/>
          <w:sz w:val="24"/>
          <w:szCs w:val="24"/>
          <w:highlight w:val="none"/>
        </w:rPr>
        <w:t>（以下简称为“发包人”）与承包人已经签订施工总承包合同（简称“总包合同”），承包人和分包人双方就分包工程施工事项经协商达成一致，订立本合同。</w:t>
      </w:r>
      <w:bookmarkStart w:id="431" w:name="_Toc11130"/>
      <w:bookmarkStart w:id="432" w:name="_Toc4904"/>
      <w:bookmarkStart w:id="433" w:name="_Toc11922659"/>
      <w:bookmarkStart w:id="434" w:name="_Toc18262"/>
      <w:bookmarkStart w:id="435" w:name="_Toc28835"/>
      <w:bookmarkStart w:id="436" w:name="_Toc9361"/>
      <w:bookmarkStart w:id="437" w:name="_Toc133"/>
      <w:bookmarkStart w:id="438" w:name="_Toc22396"/>
      <w:bookmarkStart w:id="439" w:name="_Toc13484"/>
      <w:bookmarkStart w:id="440" w:name="_Toc31242"/>
      <w:bookmarkStart w:id="441" w:name="_Toc11922752"/>
      <w:bookmarkStart w:id="442" w:name="_Toc25432"/>
      <w:bookmarkStart w:id="443" w:name="_Toc4043"/>
    </w:p>
    <w:p>
      <w:pPr>
        <w:pageBreakBefore w:val="0"/>
        <w:kinsoku/>
        <w:wordWrap/>
        <w:overflowPunct/>
        <w:topLinePunct w:val="0"/>
        <w:bidi w:val="0"/>
        <w:adjustRightInd w:val="0"/>
        <w:snapToGrid w:val="0"/>
        <w:spacing w:line="360" w:lineRule="auto"/>
        <w:ind w:firstLine="566" w:firstLineChars="200"/>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一、工程概况</w:t>
      </w:r>
      <w:bookmarkEnd w:id="431"/>
      <w:bookmarkEnd w:id="432"/>
      <w:bookmarkEnd w:id="433"/>
      <w:bookmarkEnd w:id="434"/>
      <w:bookmarkEnd w:id="435"/>
      <w:bookmarkEnd w:id="436"/>
      <w:bookmarkEnd w:id="437"/>
      <w:bookmarkEnd w:id="438"/>
      <w:bookmarkEnd w:id="439"/>
      <w:bookmarkEnd w:id="440"/>
      <w:bookmarkEnd w:id="441"/>
      <w:bookmarkEnd w:id="442"/>
      <w:bookmarkEnd w:id="443"/>
    </w:p>
    <w:p>
      <w:pPr>
        <w:pageBreakBefore w:val="0"/>
        <w:tabs>
          <w:tab w:val="left" w:pos="0"/>
        </w:tabs>
        <w:kinsoku/>
        <w:wordWrap/>
        <w:overflowPunct/>
        <w:topLinePunct w:val="0"/>
        <w:bidi w:val="0"/>
        <w:spacing w:line="360" w:lineRule="auto"/>
        <w:ind w:firstLine="486" w:firstLineChars="200"/>
        <w:jc w:val="left"/>
        <w:rPr>
          <w:rFonts w:hint="eastAsia" w:ascii="仿宋_GB2312" w:hAnsi="仿宋_GB2312" w:eastAsia="仿宋_GB2312" w:cs="仿宋_GB2312"/>
          <w:bCs/>
          <w:color w:val="auto"/>
          <w:sz w:val="24"/>
          <w:szCs w:val="24"/>
          <w:highlight w:val="none"/>
        </w:rPr>
      </w:pPr>
      <w:bookmarkStart w:id="444" w:name="_Toc24476_WPSOffice_Level2"/>
      <w:bookmarkStart w:id="445" w:name="_Toc4083"/>
      <w:bookmarkStart w:id="446" w:name="_Toc32489"/>
      <w:bookmarkStart w:id="447" w:name="_Toc23604"/>
      <w:bookmarkStart w:id="448" w:name="_Toc11922660"/>
      <w:bookmarkStart w:id="449" w:name="_Toc18654"/>
      <w:bookmarkStart w:id="450" w:name="_Toc16361"/>
      <w:bookmarkStart w:id="451" w:name="_Toc11922753"/>
      <w:bookmarkStart w:id="452" w:name="_Toc15840"/>
      <w:bookmarkStart w:id="453" w:name="_Toc8050"/>
      <w:bookmarkStart w:id="454" w:name="_Toc15545"/>
      <w:bookmarkStart w:id="455" w:name="_Toc6790"/>
      <w:bookmarkStart w:id="456" w:name="_Toc8776"/>
      <w:bookmarkStart w:id="457" w:name="_Toc4472"/>
      <w:r>
        <w:rPr>
          <w:rFonts w:hint="eastAsia" w:ascii="仿宋_GB2312" w:hAnsi="仿宋_GB2312" w:eastAsia="仿宋_GB2312" w:cs="仿宋_GB2312"/>
          <w:bCs/>
          <w:color w:val="auto"/>
          <w:sz w:val="24"/>
          <w:szCs w:val="24"/>
          <w:highlight w:val="none"/>
        </w:rPr>
        <w:t>1.总包合同编号：</w:t>
      </w:r>
      <w:bookmarkEnd w:id="444"/>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云建十（合）字第2022-28号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bCs/>
          <w:color w:val="auto"/>
          <w:sz w:val="24"/>
          <w:szCs w:val="24"/>
          <w:highlight w:val="none"/>
        </w:rPr>
        <w:t xml:space="preserve">                               </w:t>
      </w:r>
    </w:p>
    <w:p>
      <w:pPr>
        <w:pageBreakBefore w:val="0"/>
        <w:tabs>
          <w:tab w:val="left" w:pos="0"/>
        </w:tabs>
        <w:kinsoku/>
        <w:wordWrap/>
        <w:overflowPunct/>
        <w:topLinePunct w:val="0"/>
        <w:bidi w:val="0"/>
        <w:spacing w:line="360" w:lineRule="auto"/>
        <w:ind w:firstLine="486" w:firstLineChars="200"/>
        <w:jc w:val="left"/>
        <w:rPr>
          <w:rFonts w:hint="eastAsia" w:ascii="仿宋_GB2312" w:hAnsi="仿宋_GB2312" w:eastAsia="仿宋_GB2312" w:cs="仿宋_GB2312"/>
          <w:bCs/>
          <w:color w:val="auto"/>
          <w:sz w:val="24"/>
          <w:szCs w:val="24"/>
          <w:highlight w:val="none"/>
        </w:rPr>
      </w:pPr>
      <w:bookmarkStart w:id="458" w:name="_Toc13065_WPSOffice_Level2"/>
      <w:r>
        <w:rPr>
          <w:rFonts w:hint="eastAsia" w:ascii="仿宋_GB2312" w:hAnsi="仿宋_GB2312" w:eastAsia="仿宋_GB2312" w:cs="仿宋_GB2312"/>
          <w:bCs/>
          <w:color w:val="auto"/>
          <w:sz w:val="24"/>
          <w:szCs w:val="24"/>
          <w:highlight w:val="none"/>
        </w:rPr>
        <w:t>2.工程名称：</w:t>
      </w:r>
      <w:bookmarkEnd w:id="458"/>
      <w:r>
        <w:rPr>
          <w:rFonts w:hint="eastAsia" w:ascii="仿宋_GB2312" w:hAnsi="仿宋_GB2312" w:eastAsia="仿宋_GB2312" w:cs="仿宋_GB2312"/>
          <w:color w:val="auto"/>
          <w:sz w:val="24"/>
          <w:szCs w:val="24"/>
          <w:highlight w:val="none"/>
          <w:u w:val="single"/>
        </w:rPr>
        <w:t xml:space="preserve">    绥江县保障性租赁住房建设项目    </w:t>
      </w:r>
    </w:p>
    <w:p>
      <w:pPr>
        <w:pageBreakBefore w:val="0"/>
        <w:tabs>
          <w:tab w:val="left" w:pos="0"/>
        </w:tabs>
        <w:kinsoku/>
        <w:wordWrap/>
        <w:overflowPunct/>
        <w:topLinePunct w:val="0"/>
        <w:bidi w:val="0"/>
        <w:spacing w:line="360" w:lineRule="auto"/>
        <w:ind w:firstLine="486" w:firstLineChars="200"/>
        <w:jc w:val="left"/>
        <w:rPr>
          <w:rFonts w:hint="eastAsia" w:ascii="仿宋_GB2312" w:hAnsi="仿宋_GB2312" w:eastAsia="仿宋_GB2312" w:cs="仿宋_GB2312"/>
          <w:bCs/>
          <w:color w:val="auto"/>
          <w:sz w:val="24"/>
          <w:szCs w:val="24"/>
          <w:highlight w:val="none"/>
        </w:rPr>
      </w:pPr>
      <w:bookmarkStart w:id="459" w:name="_Toc16081_WPSOffice_Level2"/>
      <w:r>
        <w:rPr>
          <w:rFonts w:hint="eastAsia" w:ascii="仿宋_GB2312" w:hAnsi="仿宋_GB2312" w:eastAsia="仿宋_GB2312" w:cs="仿宋_GB2312"/>
          <w:bCs/>
          <w:color w:val="auto"/>
          <w:sz w:val="24"/>
          <w:szCs w:val="24"/>
          <w:highlight w:val="none"/>
        </w:rPr>
        <w:t>3.工程地点：</w:t>
      </w:r>
      <w:bookmarkEnd w:id="459"/>
      <w:r>
        <w:rPr>
          <w:rFonts w:hint="eastAsia" w:ascii="仿宋_GB2312" w:hAnsi="仿宋_GB2312" w:eastAsia="仿宋_GB2312" w:cs="仿宋_GB2312"/>
          <w:color w:val="auto"/>
          <w:sz w:val="24"/>
          <w:szCs w:val="24"/>
          <w:highlight w:val="none"/>
          <w:u w:val="single"/>
        </w:rPr>
        <w:t xml:space="preserve">       绥江县兆佳坝             </w:t>
      </w:r>
    </w:p>
    <w:p>
      <w:pPr>
        <w:pageBreakBefore w:val="0"/>
        <w:tabs>
          <w:tab w:val="left" w:pos="0"/>
        </w:tabs>
        <w:kinsoku/>
        <w:wordWrap/>
        <w:overflowPunct/>
        <w:topLinePunct w:val="0"/>
        <w:bidi w:val="0"/>
        <w:spacing w:line="360" w:lineRule="auto"/>
        <w:ind w:firstLine="486" w:firstLineChars="200"/>
        <w:jc w:val="left"/>
        <w:rPr>
          <w:rFonts w:hint="eastAsia" w:ascii="仿宋_GB2312" w:hAnsi="仿宋_GB2312" w:eastAsia="仿宋_GB2312" w:cs="仿宋_GB2312"/>
          <w:bCs/>
          <w:color w:val="auto"/>
          <w:sz w:val="24"/>
          <w:szCs w:val="24"/>
          <w:highlight w:val="none"/>
        </w:rPr>
      </w:pPr>
      <w:bookmarkStart w:id="460" w:name="_Toc14718_WPSOffice_Level2"/>
      <w:r>
        <w:rPr>
          <w:rFonts w:hint="eastAsia" w:ascii="仿宋_GB2312" w:hAnsi="仿宋_GB2312" w:eastAsia="仿宋_GB2312" w:cs="仿宋_GB2312"/>
          <w:bCs/>
          <w:color w:val="auto"/>
          <w:sz w:val="24"/>
          <w:szCs w:val="24"/>
          <w:highlight w:val="none"/>
        </w:rPr>
        <w:t>4.分包项目名称：</w:t>
      </w:r>
      <w:bookmarkEnd w:id="460"/>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防水工程  </w:t>
      </w:r>
      <w:r>
        <w:rPr>
          <w:rFonts w:hint="eastAsia" w:ascii="仿宋_GB2312" w:hAnsi="仿宋_GB2312" w:eastAsia="仿宋_GB2312" w:cs="仿宋_GB2312"/>
          <w:color w:val="auto"/>
          <w:sz w:val="24"/>
          <w:szCs w:val="24"/>
          <w:highlight w:val="none"/>
          <w:u w:val="single"/>
        </w:rPr>
        <w:t xml:space="preserve">  </w:t>
      </w:r>
    </w:p>
    <w:p>
      <w:pPr>
        <w:pageBreakBefore w:val="0"/>
        <w:tabs>
          <w:tab w:val="left" w:pos="0"/>
        </w:tabs>
        <w:kinsoku/>
        <w:wordWrap/>
        <w:overflowPunct/>
        <w:topLinePunct w:val="0"/>
        <w:bidi w:val="0"/>
        <w:spacing w:line="360" w:lineRule="auto"/>
        <w:ind w:firstLine="486" w:firstLineChars="200"/>
        <w:jc w:val="left"/>
        <w:rPr>
          <w:rFonts w:hint="eastAsia" w:ascii="仿宋_GB2312" w:hAnsi="仿宋_GB2312" w:eastAsia="仿宋_GB2312" w:cs="仿宋_GB2312"/>
          <w:bCs/>
          <w:color w:val="auto"/>
          <w:sz w:val="24"/>
          <w:szCs w:val="24"/>
          <w:highlight w:val="none"/>
          <w:u w:val="single"/>
        </w:rPr>
      </w:pPr>
      <w:bookmarkStart w:id="461" w:name="_Toc7897_WPSOffice_Level2"/>
      <w:r>
        <w:rPr>
          <w:rFonts w:hint="eastAsia" w:ascii="仿宋_GB2312" w:hAnsi="仿宋_GB2312" w:eastAsia="仿宋_GB2312" w:cs="仿宋_GB2312"/>
          <w:bCs/>
          <w:color w:val="auto"/>
          <w:sz w:val="24"/>
          <w:szCs w:val="24"/>
          <w:highlight w:val="none"/>
        </w:rPr>
        <w:t>5.分包工程承包范围：</w:t>
      </w:r>
      <w:bookmarkEnd w:id="461"/>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屋面高分子防水卷材粘贴铺设、聚合物水泥防水涂料涂刷等</w:t>
      </w:r>
      <w:r>
        <w:rPr>
          <w:rFonts w:hint="eastAsia" w:ascii="仿宋_GB2312" w:hAnsi="仿宋_GB2312" w:eastAsia="仿宋_GB2312" w:cs="仿宋_GB2312"/>
          <w:color w:val="auto"/>
          <w:sz w:val="24"/>
          <w:szCs w:val="24"/>
          <w:highlight w:val="none"/>
          <w:u w:val="single"/>
        </w:rPr>
        <w:t xml:space="preserve">                          </w:t>
      </w:r>
    </w:p>
    <w:p>
      <w:pPr>
        <w:pageBreakBefore w:val="0"/>
        <w:tabs>
          <w:tab w:val="left" w:pos="0"/>
        </w:tabs>
        <w:kinsoku/>
        <w:wordWrap/>
        <w:overflowPunct/>
        <w:topLinePunct w:val="0"/>
        <w:bidi w:val="0"/>
        <w:spacing w:line="360" w:lineRule="auto"/>
        <w:ind w:firstLine="486" w:firstLineChars="200"/>
        <w:jc w:val="left"/>
        <w:rPr>
          <w:rFonts w:hint="eastAsia" w:ascii="仿宋_GB2312" w:hAnsi="仿宋_GB2312" w:eastAsia="仿宋_GB2312" w:cs="仿宋_GB2312"/>
          <w:color w:val="auto"/>
          <w:sz w:val="24"/>
          <w:szCs w:val="24"/>
          <w:highlight w:val="none"/>
          <w:u w:val="single"/>
        </w:rPr>
      </w:pPr>
      <w:bookmarkStart w:id="462" w:name="_Toc8278_WPSOffice_Level2"/>
      <w:r>
        <w:rPr>
          <w:rFonts w:hint="eastAsia" w:ascii="仿宋_GB2312" w:hAnsi="仿宋_GB2312" w:eastAsia="仿宋_GB2312" w:cs="仿宋_GB2312"/>
          <w:bCs/>
          <w:color w:val="auto"/>
          <w:sz w:val="24"/>
          <w:szCs w:val="24"/>
          <w:highlight w:val="none"/>
        </w:rPr>
        <w:t>6.分包工程内容：</w:t>
      </w:r>
      <w:bookmarkEnd w:id="462"/>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防水工程专业分包</w:t>
      </w:r>
      <w:r>
        <w:rPr>
          <w:rFonts w:hint="eastAsia" w:ascii="仿宋_GB2312" w:hAnsi="仿宋_GB2312" w:eastAsia="仿宋_GB2312" w:cs="仿宋_GB2312"/>
          <w:color w:val="auto"/>
          <w:sz w:val="24"/>
          <w:szCs w:val="24"/>
          <w:highlight w:val="none"/>
          <w:u w:val="single"/>
        </w:rPr>
        <w:t xml:space="preserve">       </w:t>
      </w:r>
    </w:p>
    <w:p>
      <w:pPr>
        <w:pageBreakBefore w:val="0"/>
        <w:kinsoku/>
        <w:wordWrap/>
        <w:overflowPunct/>
        <w:topLinePunct w:val="0"/>
        <w:bidi w:val="0"/>
        <w:spacing w:before="0" w:after="0" w:line="360" w:lineRule="auto"/>
        <w:ind w:firstLine="566" w:firstLineChars="200"/>
        <w:outlineLvl w:val="9"/>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二、专业分包人资质情况</w:t>
      </w:r>
      <w:bookmarkEnd w:id="445"/>
      <w:bookmarkEnd w:id="446"/>
      <w:bookmarkEnd w:id="447"/>
      <w:bookmarkEnd w:id="448"/>
      <w:bookmarkEnd w:id="449"/>
      <w:bookmarkEnd w:id="450"/>
      <w:bookmarkEnd w:id="451"/>
      <w:bookmarkEnd w:id="452"/>
      <w:bookmarkEnd w:id="453"/>
      <w:bookmarkEnd w:id="454"/>
      <w:bookmarkEnd w:id="455"/>
      <w:bookmarkEnd w:id="456"/>
      <w:bookmarkEnd w:id="457"/>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bookmarkStart w:id="463" w:name="_Toc12835_WPSOffice_Level2"/>
      <w:r>
        <w:rPr>
          <w:rFonts w:hint="eastAsia" w:ascii="仿宋_GB2312" w:hAnsi="仿宋_GB2312" w:eastAsia="仿宋_GB2312" w:cs="仿宋_GB2312"/>
          <w:bCs/>
          <w:color w:val="auto"/>
          <w:sz w:val="24"/>
          <w:szCs w:val="24"/>
          <w:highlight w:val="none"/>
        </w:rPr>
        <w:t>1.资质证书号码：</w:t>
      </w:r>
      <w:bookmarkEnd w:id="463"/>
      <w:r>
        <w:rPr>
          <w:rFonts w:hint="eastAsia" w:ascii="仿宋_GB2312" w:hAnsi="仿宋_GB2312" w:eastAsia="仿宋_GB2312" w:cs="仿宋_GB2312"/>
          <w:color w:val="auto"/>
          <w:sz w:val="24"/>
          <w:szCs w:val="24"/>
          <w:highlight w:val="none"/>
          <w:u w:val="single"/>
        </w:rPr>
        <w:t xml:space="preserve">                                  </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bCs/>
          <w:color w:val="auto"/>
          <w:sz w:val="24"/>
          <w:szCs w:val="24"/>
          <w:highlight w:val="none"/>
        </w:rPr>
      </w:pPr>
      <w:bookmarkStart w:id="464" w:name="_Toc31004_WPSOffice_Level2"/>
      <w:r>
        <w:rPr>
          <w:rFonts w:hint="eastAsia" w:ascii="仿宋_GB2312" w:hAnsi="仿宋_GB2312" w:eastAsia="仿宋_GB2312" w:cs="仿宋_GB2312"/>
          <w:bCs/>
          <w:color w:val="auto"/>
          <w:sz w:val="24"/>
          <w:szCs w:val="24"/>
          <w:highlight w:val="none"/>
        </w:rPr>
        <w:t>2.发证机关：</w:t>
      </w:r>
      <w:bookmarkEnd w:id="464"/>
      <w:r>
        <w:rPr>
          <w:rFonts w:hint="eastAsia" w:ascii="仿宋_GB2312" w:hAnsi="仿宋_GB2312" w:eastAsia="仿宋_GB2312" w:cs="仿宋_GB2312"/>
          <w:color w:val="auto"/>
          <w:sz w:val="24"/>
          <w:szCs w:val="24"/>
          <w:highlight w:val="none"/>
          <w:u w:val="single"/>
        </w:rPr>
        <w:t xml:space="preserve">                                      </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bCs/>
          <w:color w:val="auto"/>
          <w:sz w:val="24"/>
          <w:szCs w:val="24"/>
          <w:highlight w:val="none"/>
        </w:rPr>
      </w:pPr>
      <w:bookmarkStart w:id="465" w:name="_Toc12680_WPSOffice_Level2"/>
      <w:r>
        <w:rPr>
          <w:rFonts w:hint="eastAsia" w:ascii="仿宋_GB2312" w:hAnsi="仿宋_GB2312" w:eastAsia="仿宋_GB2312" w:cs="仿宋_GB2312"/>
          <w:bCs/>
          <w:color w:val="auto"/>
          <w:sz w:val="24"/>
          <w:szCs w:val="24"/>
          <w:highlight w:val="none"/>
        </w:rPr>
        <w:t>3.资质专业类别及等级：</w:t>
      </w:r>
      <w:bookmarkEnd w:id="465"/>
      <w:r>
        <w:rPr>
          <w:rFonts w:hint="eastAsia" w:ascii="仿宋_GB2312" w:hAnsi="仿宋_GB2312" w:eastAsia="仿宋_GB2312" w:cs="仿宋_GB2312"/>
          <w:color w:val="auto"/>
          <w:sz w:val="24"/>
          <w:szCs w:val="24"/>
          <w:highlight w:val="none"/>
          <w:u w:val="single"/>
        </w:rPr>
        <w:t xml:space="preserve">                            </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bCs/>
          <w:color w:val="auto"/>
          <w:sz w:val="24"/>
          <w:szCs w:val="24"/>
          <w:highlight w:val="none"/>
        </w:rPr>
      </w:pPr>
      <w:bookmarkStart w:id="466" w:name="_Toc6383_WPSOffice_Level2"/>
      <w:r>
        <w:rPr>
          <w:rFonts w:hint="eastAsia" w:ascii="仿宋_GB2312" w:hAnsi="仿宋_GB2312" w:eastAsia="仿宋_GB2312" w:cs="仿宋_GB2312"/>
          <w:bCs/>
          <w:color w:val="auto"/>
          <w:sz w:val="24"/>
          <w:szCs w:val="24"/>
          <w:highlight w:val="none"/>
        </w:rPr>
        <w:t>4.资质授予时间及有效期：</w:t>
      </w:r>
      <w:bookmarkEnd w:id="466"/>
      <w:r>
        <w:rPr>
          <w:rFonts w:hint="eastAsia" w:ascii="仿宋_GB2312" w:hAnsi="仿宋_GB2312" w:eastAsia="仿宋_GB2312" w:cs="仿宋_GB2312"/>
          <w:color w:val="auto"/>
          <w:sz w:val="24"/>
          <w:szCs w:val="24"/>
          <w:highlight w:val="none"/>
          <w:u w:val="single"/>
        </w:rPr>
        <w:t xml:space="preserve">                          </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bCs/>
          <w:color w:val="auto"/>
          <w:sz w:val="24"/>
          <w:szCs w:val="24"/>
          <w:highlight w:val="none"/>
          <w:u w:val="single"/>
        </w:rPr>
      </w:pPr>
      <w:bookmarkStart w:id="467" w:name="_Toc18083_WPSOffice_Level2"/>
      <w:r>
        <w:rPr>
          <w:rFonts w:hint="eastAsia" w:ascii="仿宋_GB2312" w:hAnsi="仿宋_GB2312" w:eastAsia="仿宋_GB2312" w:cs="仿宋_GB2312"/>
          <w:bCs/>
          <w:color w:val="auto"/>
          <w:sz w:val="24"/>
          <w:szCs w:val="24"/>
          <w:highlight w:val="none"/>
        </w:rPr>
        <w:t>5.安全生产许可证号码：</w:t>
      </w:r>
      <w:bookmarkEnd w:id="467"/>
      <w:r>
        <w:rPr>
          <w:rFonts w:hint="eastAsia" w:ascii="仿宋_GB2312" w:hAnsi="仿宋_GB2312" w:eastAsia="仿宋_GB2312" w:cs="仿宋_GB2312"/>
          <w:color w:val="auto"/>
          <w:sz w:val="24"/>
          <w:szCs w:val="24"/>
          <w:highlight w:val="none"/>
          <w:u w:val="single"/>
        </w:rPr>
        <w:t xml:space="preserve">                            </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u w:val="single"/>
        </w:rPr>
      </w:pPr>
      <w:bookmarkStart w:id="468" w:name="_Toc4091_WPSOffice_Level2"/>
      <w:r>
        <w:rPr>
          <w:rFonts w:hint="eastAsia" w:ascii="仿宋_GB2312" w:hAnsi="仿宋_GB2312" w:eastAsia="仿宋_GB2312" w:cs="仿宋_GB2312"/>
          <w:bCs/>
          <w:color w:val="auto"/>
          <w:sz w:val="24"/>
          <w:szCs w:val="24"/>
          <w:highlight w:val="none"/>
        </w:rPr>
        <w:t>6.外省企业入滇登记证编号：</w:t>
      </w:r>
      <w:bookmarkEnd w:id="468"/>
      <w:r>
        <w:rPr>
          <w:rFonts w:hint="eastAsia" w:ascii="仿宋_GB2312" w:hAnsi="仿宋_GB2312" w:eastAsia="仿宋_GB2312" w:cs="仿宋_GB2312"/>
          <w:color w:val="auto"/>
          <w:sz w:val="24"/>
          <w:szCs w:val="24"/>
          <w:highlight w:val="none"/>
          <w:u w:val="single"/>
        </w:rPr>
        <w:t xml:space="preserve">                        </w:t>
      </w:r>
      <w:bookmarkStart w:id="469" w:name="_Toc6154"/>
      <w:bookmarkStart w:id="470" w:name="_Toc11922661"/>
      <w:bookmarkStart w:id="471" w:name="_Toc24211"/>
      <w:bookmarkStart w:id="472" w:name="_Toc11922754"/>
    </w:p>
    <w:bookmarkEnd w:id="469"/>
    <w:bookmarkEnd w:id="470"/>
    <w:bookmarkEnd w:id="471"/>
    <w:bookmarkEnd w:id="472"/>
    <w:p>
      <w:pPr>
        <w:pageBreakBefore w:val="0"/>
        <w:kinsoku/>
        <w:wordWrap/>
        <w:overflowPunct/>
        <w:topLinePunct w:val="0"/>
        <w:bidi w:val="0"/>
        <w:spacing w:before="0" w:after="0" w:line="360" w:lineRule="auto"/>
        <w:ind w:firstLine="566" w:firstLineChars="200"/>
        <w:outlineLvl w:val="9"/>
        <w:rPr>
          <w:rFonts w:hint="eastAsia" w:ascii="仿宋_GB2312" w:hAnsi="仿宋_GB2312" w:eastAsia="仿宋_GB2312" w:cs="仿宋_GB2312"/>
          <w:b/>
          <w:bCs/>
          <w:color w:val="auto"/>
          <w:sz w:val="28"/>
          <w:szCs w:val="28"/>
          <w:highlight w:val="none"/>
        </w:rPr>
      </w:pPr>
      <w:bookmarkStart w:id="473" w:name="_Toc5660"/>
      <w:bookmarkStart w:id="474" w:name="_Toc3271"/>
      <w:bookmarkStart w:id="475" w:name="_Toc11922755"/>
      <w:bookmarkStart w:id="476" w:name="_Toc22910"/>
      <w:bookmarkStart w:id="477" w:name="_Toc23206"/>
      <w:bookmarkStart w:id="478" w:name="_Toc21915"/>
      <w:bookmarkStart w:id="479" w:name="_Toc11922662"/>
      <w:bookmarkStart w:id="480" w:name="_Toc15912"/>
      <w:bookmarkStart w:id="481" w:name="_Toc29778"/>
      <w:bookmarkStart w:id="482" w:name="_Toc13371"/>
      <w:bookmarkStart w:id="483" w:name="_Toc20696"/>
      <w:bookmarkStart w:id="484" w:name="_Toc1808"/>
      <w:bookmarkStart w:id="485" w:name="_Toc820"/>
      <w:r>
        <w:rPr>
          <w:rFonts w:hint="eastAsia" w:ascii="仿宋_GB2312" w:hAnsi="仿宋_GB2312" w:eastAsia="仿宋_GB2312" w:cs="仿宋_GB2312"/>
          <w:b/>
          <w:bCs/>
          <w:color w:val="auto"/>
          <w:sz w:val="28"/>
          <w:szCs w:val="28"/>
          <w:highlight w:val="none"/>
        </w:rPr>
        <w:t>三、工程质量标准</w:t>
      </w:r>
      <w:bookmarkEnd w:id="473"/>
      <w:bookmarkEnd w:id="474"/>
      <w:bookmarkEnd w:id="475"/>
      <w:bookmarkEnd w:id="476"/>
      <w:bookmarkEnd w:id="477"/>
      <w:bookmarkEnd w:id="478"/>
      <w:bookmarkEnd w:id="479"/>
      <w:bookmarkEnd w:id="480"/>
      <w:bookmarkEnd w:id="481"/>
      <w:bookmarkEnd w:id="482"/>
      <w:bookmarkEnd w:id="483"/>
      <w:bookmarkEnd w:id="484"/>
      <w:bookmarkEnd w:id="485"/>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本分包工程质量标准双方约定为：</w:t>
      </w:r>
      <w:r>
        <w:rPr>
          <w:rFonts w:hint="eastAsia" w:ascii="仿宋_GB2312" w:hAnsi="仿宋_GB2312" w:eastAsia="仿宋_GB2312" w:cs="仿宋_GB2312"/>
          <w:color w:val="auto"/>
          <w:sz w:val="24"/>
          <w:szCs w:val="24"/>
          <w:highlight w:val="none"/>
          <w:u w:val="single"/>
        </w:rPr>
        <w:t xml:space="preserve">   符合国家、相关行业技术标准和规范，一次性验收合格。        </w:t>
      </w:r>
    </w:p>
    <w:p>
      <w:pPr>
        <w:pageBreakBefore w:val="0"/>
        <w:kinsoku/>
        <w:wordWrap/>
        <w:overflowPunct/>
        <w:topLinePunct w:val="0"/>
        <w:bidi w:val="0"/>
        <w:spacing w:before="0" w:after="0" w:line="360" w:lineRule="auto"/>
        <w:ind w:firstLine="566" w:firstLineChars="200"/>
        <w:outlineLvl w:val="9"/>
        <w:rPr>
          <w:rFonts w:hint="eastAsia" w:ascii="仿宋_GB2312" w:hAnsi="仿宋_GB2312" w:eastAsia="仿宋_GB2312" w:cs="仿宋_GB2312"/>
          <w:b/>
          <w:bCs/>
          <w:color w:val="auto"/>
          <w:sz w:val="28"/>
          <w:szCs w:val="28"/>
          <w:highlight w:val="none"/>
        </w:rPr>
      </w:pPr>
      <w:bookmarkStart w:id="486" w:name="_Toc22709"/>
      <w:bookmarkStart w:id="487" w:name="_Toc14950"/>
      <w:bookmarkStart w:id="488" w:name="_Toc18979"/>
      <w:bookmarkStart w:id="489" w:name="_Toc21865"/>
      <w:bookmarkStart w:id="490" w:name="_Toc23150"/>
      <w:bookmarkStart w:id="491" w:name="_Toc11922756"/>
      <w:bookmarkStart w:id="492" w:name="_Toc11922663"/>
      <w:bookmarkStart w:id="493" w:name="_Toc9931"/>
      <w:bookmarkStart w:id="494" w:name="_Toc13241"/>
      <w:bookmarkStart w:id="495" w:name="_Toc5727"/>
      <w:bookmarkStart w:id="496" w:name="_Toc11303"/>
      <w:bookmarkStart w:id="497" w:name="_Toc8977"/>
      <w:bookmarkStart w:id="498" w:name="_Toc22181"/>
      <w:r>
        <w:rPr>
          <w:rFonts w:hint="eastAsia" w:ascii="仿宋_GB2312" w:hAnsi="仿宋_GB2312" w:eastAsia="仿宋_GB2312" w:cs="仿宋_GB2312"/>
          <w:b/>
          <w:bCs/>
          <w:color w:val="auto"/>
          <w:sz w:val="28"/>
          <w:szCs w:val="28"/>
          <w:highlight w:val="none"/>
        </w:rPr>
        <w:t>四、分包合同价款</w:t>
      </w:r>
      <w:bookmarkEnd w:id="486"/>
      <w:bookmarkEnd w:id="487"/>
      <w:bookmarkEnd w:id="488"/>
      <w:bookmarkEnd w:id="489"/>
      <w:bookmarkEnd w:id="490"/>
      <w:bookmarkEnd w:id="491"/>
      <w:bookmarkEnd w:id="492"/>
      <w:bookmarkEnd w:id="493"/>
      <w:bookmarkEnd w:id="494"/>
      <w:bookmarkEnd w:id="495"/>
      <w:bookmarkEnd w:id="496"/>
      <w:bookmarkEnd w:id="497"/>
      <w:bookmarkEnd w:id="498"/>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合同金额（含税）：</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元；大写：</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元</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szCs w:val="24"/>
          <w:highlight w:val="none"/>
          <w:u w:val="none"/>
          <w:lang w:val="en-US" w:eastAsia="zh-CN"/>
        </w:rPr>
        <w:t>其中人工费金额（含税）：</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none"/>
          <w:lang w:val="en-US" w:eastAsia="zh-CN"/>
        </w:rPr>
        <w:t>元；大写：</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none"/>
          <w:lang w:val="en-US" w:eastAsia="zh-CN"/>
        </w:rPr>
        <w:t>元。</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合同金额（不含税）：</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元；大写：</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元</w:t>
      </w:r>
    </w:p>
    <w:p>
      <w:pPr>
        <w:pStyle w:val="9"/>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其中人工费金额（不含税）：</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none"/>
          <w:lang w:val="en-US" w:eastAsia="zh-CN"/>
        </w:rPr>
        <w:t>元；大写：</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none"/>
          <w:lang w:val="en-US" w:eastAsia="zh-CN"/>
        </w:rPr>
        <w:t>元。</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default"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增值税税款合计：</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none"/>
          <w:lang w:val="en-US" w:eastAsia="zh-CN"/>
        </w:rPr>
        <w:t>元；大写：</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none"/>
          <w:lang w:val="en-US" w:eastAsia="zh-CN"/>
        </w:rPr>
        <w:t>元。</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详见附件一</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已标价工程量清单总表</w:t>
      </w:r>
      <w:r>
        <w:rPr>
          <w:rFonts w:hint="eastAsia" w:ascii="仿宋_GB2312" w:hAnsi="仿宋_GB2312" w:eastAsia="仿宋_GB2312" w:cs="仿宋_GB2312"/>
          <w:color w:val="auto"/>
          <w:sz w:val="24"/>
          <w:szCs w:val="24"/>
          <w:highlight w:val="none"/>
          <w:lang w:eastAsia="zh-CN"/>
        </w:rPr>
        <w:t>》</w:t>
      </w:r>
    </w:p>
    <w:p>
      <w:pPr>
        <w:pageBreakBefore w:val="0"/>
        <w:kinsoku/>
        <w:wordWrap/>
        <w:overflowPunct/>
        <w:topLinePunct w:val="0"/>
        <w:bidi w:val="0"/>
        <w:spacing w:before="0" w:after="0" w:line="360" w:lineRule="auto"/>
        <w:ind w:firstLine="566" w:firstLineChars="200"/>
        <w:outlineLvl w:val="9"/>
        <w:rPr>
          <w:rFonts w:hint="eastAsia" w:ascii="仿宋_GB2312" w:hAnsi="仿宋_GB2312" w:eastAsia="仿宋_GB2312" w:cs="仿宋_GB2312"/>
          <w:b/>
          <w:bCs/>
          <w:color w:val="auto"/>
          <w:sz w:val="28"/>
          <w:szCs w:val="28"/>
          <w:highlight w:val="none"/>
        </w:rPr>
      </w:pPr>
      <w:bookmarkStart w:id="499" w:name="_Toc1627"/>
      <w:bookmarkStart w:id="500" w:name="_Toc28382"/>
      <w:bookmarkStart w:id="501" w:name="_Toc3961"/>
      <w:bookmarkStart w:id="502" w:name="_Toc18691"/>
      <w:bookmarkStart w:id="503" w:name="_Toc15926"/>
      <w:bookmarkStart w:id="504" w:name="_Toc8717"/>
      <w:bookmarkStart w:id="505" w:name="_Toc5451"/>
      <w:bookmarkStart w:id="506" w:name="_Toc7219"/>
      <w:bookmarkStart w:id="507" w:name="_Toc16974"/>
      <w:bookmarkStart w:id="508" w:name="_Toc28545"/>
      <w:bookmarkStart w:id="509" w:name="_Toc11922757"/>
      <w:bookmarkStart w:id="510" w:name="_Toc11922664"/>
      <w:bookmarkStart w:id="511" w:name="_Toc10737"/>
      <w:r>
        <w:rPr>
          <w:rFonts w:hint="eastAsia" w:ascii="仿宋_GB2312" w:hAnsi="仿宋_GB2312" w:eastAsia="仿宋_GB2312" w:cs="仿宋_GB2312"/>
          <w:b/>
          <w:bCs/>
          <w:color w:val="auto"/>
          <w:sz w:val="28"/>
          <w:szCs w:val="28"/>
          <w:highlight w:val="none"/>
        </w:rPr>
        <w:t>五、工期</w:t>
      </w:r>
      <w:bookmarkEnd w:id="499"/>
      <w:bookmarkEnd w:id="500"/>
      <w:bookmarkEnd w:id="501"/>
      <w:bookmarkEnd w:id="502"/>
      <w:bookmarkEnd w:id="503"/>
      <w:bookmarkEnd w:id="504"/>
      <w:bookmarkEnd w:id="505"/>
      <w:bookmarkEnd w:id="506"/>
      <w:bookmarkEnd w:id="507"/>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lang w:val="en-US" w:eastAsia="zh-CN"/>
        </w:rPr>
        <w:t>计划</w:t>
      </w:r>
      <w:r>
        <w:rPr>
          <w:rFonts w:hint="eastAsia" w:ascii="仿宋_GB2312" w:hAnsi="仿宋_GB2312" w:eastAsia="仿宋_GB2312" w:cs="仿宋_GB2312"/>
          <w:color w:val="auto"/>
          <w:sz w:val="24"/>
          <w:szCs w:val="24"/>
          <w:highlight w:val="none"/>
        </w:rPr>
        <w:t>开工日期：</w:t>
      </w:r>
      <w:r>
        <w:rPr>
          <w:rFonts w:hint="eastAsia" w:ascii="仿宋_GB2312" w:hAnsi="仿宋_GB2312" w:eastAsia="仿宋_GB2312" w:cs="仿宋_GB2312"/>
          <w:color w:val="auto"/>
          <w:sz w:val="24"/>
          <w:szCs w:val="24"/>
          <w:highlight w:val="none"/>
          <w:u w:val="single"/>
          <w:lang w:val="en-US" w:eastAsia="zh-CN"/>
        </w:rPr>
        <w:t>以甲方要求开工时间为准</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rPr>
        <w:t>计划竣工日期：</w:t>
      </w:r>
      <w:r>
        <w:rPr>
          <w:rFonts w:hint="eastAsia" w:ascii="仿宋_GB2312" w:hAnsi="仿宋_GB2312" w:eastAsia="仿宋_GB2312" w:cs="仿宋_GB2312"/>
          <w:color w:val="auto"/>
          <w:sz w:val="24"/>
          <w:szCs w:val="24"/>
          <w:highlight w:val="none"/>
          <w:u w:val="single"/>
          <w:lang w:val="en-US" w:eastAsia="zh-CN"/>
        </w:rPr>
        <w:t>以甲方要求竣工时间为准</w:t>
      </w:r>
    </w:p>
    <w:p>
      <w:pPr>
        <w:pageBreakBefore w:val="0"/>
        <w:kinsoku/>
        <w:wordWrap/>
        <w:overflowPunct/>
        <w:topLinePunct w:val="0"/>
        <w:bidi w:val="0"/>
        <w:adjustRightInd w:val="0"/>
        <w:snapToGrid w:val="0"/>
        <w:spacing w:line="360" w:lineRule="auto"/>
        <w:ind w:firstLine="462" w:firstLineChars="200"/>
        <w:rPr>
          <w:rFonts w:hint="eastAsia" w:ascii="仿宋_GB2312" w:hAnsi="仿宋_GB2312" w:eastAsia="仿宋_GB2312" w:cs="仿宋_GB2312"/>
          <w:color w:val="auto"/>
          <w:w w:val="95"/>
          <w:sz w:val="24"/>
          <w:szCs w:val="24"/>
          <w:highlight w:val="none"/>
          <w:lang w:eastAsia="zh-CN"/>
        </w:rPr>
      </w:pPr>
      <w:r>
        <w:rPr>
          <w:rFonts w:hint="eastAsia" w:ascii="仿宋_GB2312" w:hAnsi="仿宋_GB2312" w:eastAsia="仿宋_GB2312" w:cs="仿宋_GB2312"/>
          <w:color w:val="auto"/>
          <w:w w:val="95"/>
          <w:sz w:val="24"/>
          <w:szCs w:val="24"/>
          <w:highlight w:val="none"/>
        </w:rPr>
        <w:t>总日历工作天数为</w:t>
      </w:r>
      <w:r>
        <w:rPr>
          <w:rFonts w:hint="eastAsia" w:ascii="仿宋_GB2312" w:hAnsi="仿宋_GB2312" w:eastAsia="仿宋_GB2312" w:cs="仿宋_GB2312"/>
          <w:color w:val="auto"/>
          <w:w w:val="95"/>
          <w:sz w:val="24"/>
          <w:szCs w:val="24"/>
          <w:highlight w:val="none"/>
          <w:u w:val="single"/>
        </w:rPr>
        <w:t xml:space="preserve"> </w:t>
      </w:r>
      <w:r>
        <w:rPr>
          <w:rFonts w:hint="eastAsia" w:ascii="仿宋_GB2312" w:hAnsi="仿宋_GB2312" w:eastAsia="仿宋_GB2312" w:cs="仿宋_GB2312"/>
          <w:color w:val="auto"/>
          <w:w w:val="95"/>
          <w:sz w:val="24"/>
          <w:szCs w:val="24"/>
          <w:highlight w:val="none"/>
          <w:u w:val="single"/>
          <w:lang w:val="en-US" w:eastAsia="zh-CN"/>
        </w:rPr>
        <w:t>300天</w:t>
      </w:r>
      <w:r>
        <w:rPr>
          <w:rFonts w:hint="eastAsia" w:ascii="仿宋_GB2312" w:hAnsi="仿宋_GB2312" w:eastAsia="仿宋_GB2312" w:cs="仿宋_GB2312"/>
          <w:color w:val="auto"/>
          <w:w w:val="95"/>
          <w:sz w:val="24"/>
          <w:szCs w:val="24"/>
          <w:highlight w:val="none"/>
          <w:u w:val="single"/>
        </w:rPr>
        <w:t xml:space="preserve">  </w:t>
      </w:r>
      <w:r>
        <w:rPr>
          <w:rFonts w:hint="eastAsia" w:ascii="仿宋_GB2312" w:hAnsi="仿宋_GB2312" w:eastAsia="仿宋_GB2312" w:cs="仿宋_GB2312"/>
          <w:color w:val="auto"/>
          <w:w w:val="95"/>
          <w:sz w:val="24"/>
          <w:szCs w:val="24"/>
          <w:highlight w:val="none"/>
        </w:rPr>
        <w:t>，具体分包工作期限根据承包人施工进度计划调整</w:t>
      </w:r>
      <w:r>
        <w:rPr>
          <w:rFonts w:hint="eastAsia" w:ascii="仿宋_GB2312" w:hAnsi="仿宋_GB2312" w:eastAsia="仿宋_GB2312" w:cs="仿宋_GB2312"/>
          <w:color w:val="auto"/>
          <w:w w:val="95"/>
          <w:sz w:val="24"/>
          <w:szCs w:val="24"/>
          <w:highlight w:val="none"/>
          <w:lang w:eastAsia="zh-CN"/>
        </w:rPr>
        <w:t>。</w:t>
      </w:r>
    </w:p>
    <w:p>
      <w:pPr>
        <w:pageBreakBefore w:val="0"/>
        <w:kinsoku/>
        <w:wordWrap/>
        <w:overflowPunct/>
        <w:topLinePunct w:val="0"/>
        <w:bidi w:val="0"/>
        <w:spacing w:before="0" w:after="0" w:line="360" w:lineRule="auto"/>
        <w:ind w:firstLine="566" w:firstLineChars="200"/>
        <w:outlineLvl w:val="9"/>
        <w:rPr>
          <w:rFonts w:hint="eastAsia" w:ascii="仿宋_GB2312" w:hAnsi="仿宋_GB2312" w:eastAsia="仿宋_GB2312" w:cs="仿宋_GB2312"/>
          <w:b/>
          <w:bCs/>
          <w:color w:val="auto"/>
          <w:sz w:val="28"/>
          <w:szCs w:val="28"/>
          <w:highlight w:val="none"/>
        </w:rPr>
      </w:pPr>
      <w:bookmarkStart w:id="512" w:name="_Toc3670"/>
      <w:bookmarkStart w:id="513" w:name="_Toc31392"/>
      <w:bookmarkStart w:id="514" w:name="_Toc7016"/>
      <w:bookmarkStart w:id="515" w:name="_Toc13198"/>
      <w:bookmarkStart w:id="516" w:name="_Toc18101"/>
      <w:bookmarkStart w:id="517" w:name="_Toc11710"/>
      <w:bookmarkStart w:id="518" w:name="_Toc31949"/>
      <w:bookmarkStart w:id="519" w:name="_Toc17408"/>
      <w:bookmarkStart w:id="520" w:name="_Toc30485"/>
      <w:r>
        <w:rPr>
          <w:rFonts w:hint="eastAsia" w:ascii="仿宋_GB2312" w:hAnsi="仿宋_GB2312" w:eastAsia="仿宋_GB2312" w:cs="仿宋_GB2312"/>
          <w:b/>
          <w:bCs/>
          <w:color w:val="auto"/>
          <w:sz w:val="28"/>
          <w:szCs w:val="28"/>
          <w:highlight w:val="none"/>
        </w:rPr>
        <w:t>六、合同文件及解释顺序</w:t>
      </w:r>
      <w:bookmarkEnd w:id="508"/>
      <w:bookmarkEnd w:id="509"/>
      <w:bookmarkEnd w:id="510"/>
      <w:bookmarkEnd w:id="511"/>
      <w:bookmarkEnd w:id="512"/>
      <w:bookmarkEnd w:id="513"/>
      <w:bookmarkEnd w:id="514"/>
      <w:bookmarkEnd w:id="515"/>
      <w:bookmarkEnd w:id="516"/>
      <w:bookmarkEnd w:id="517"/>
      <w:bookmarkEnd w:id="518"/>
      <w:bookmarkEnd w:id="519"/>
      <w:bookmarkEnd w:id="520"/>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1．本合同协议书；</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2．中标通知书；</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3．投标函及其附件</w:t>
      </w:r>
      <w:r>
        <w:rPr>
          <w:rFonts w:hint="eastAsia" w:ascii="仿宋_GB2312" w:hAnsi="仿宋_GB2312" w:eastAsia="仿宋_GB2312" w:cs="仿宋_GB2312"/>
          <w:color w:val="auto"/>
          <w:sz w:val="24"/>
          <w:szCs w:val="24"/>
          <w:highlight w:val="none"/>
          <w:lang w:eastAsia="zh-CN"/>
        </w:rPr>
        <w:t>，包括</w:t>
      </w:r>
      <w:r>
        <w:rPr>
          <w:rFonts w:hint="eastAsia" w:ascii="仿宋_GB2312" w:hAnsi="仿宋_GB2312" w:eastAsia="仿宋_GB2312" w:cs="仿宋_GB2312"/>
          <w:color w:val="auto"/>
          <w:sz w:val="24"/>
          <w:szCs w:val="24"/>
          <w:highlight w:val="none"/>
          <w:lang w:val="en-US" w:eastAsia="zh-CN"/>
        </w:rPr>
        <w:t>但不限于</w:t>
      </w:r>
      <w:r>
        <w:rPr>
          <w:rFonts w:hint="eastAsia" w:ascii="仿宋_GB2312" w:hAnsi="仿宋_GB2312" w:eastAsia="仿宋_GB2312" w:cs="仿宋_GB2312"/>
          <w:color w:val="auto"/>
          <w:sz w:val="24"/>
          <w:szCs w:val="24"/>
          <w:highlight w:val="none"/>
          <w:lang w:eastAsia="zh-CN"/>
        </w:rPr>
        <w:t>投标承诺及已响应的招标文件管理要求等</w:t>
      </w:r>
      <w:r>
        <w:rPr>
          <w:rFonts w:hint="eastAsia" w:ascii="仿宋_GB2312" w:hAnsi="仿宋_GB2312" w:eastAsia="仿宋_GB2312" w:cs="仿宋_GB2312"/>
          <w:color w:val="auto"/>
          <w:sz w:val="24"/>
          <w:szCs w:val="24"/>
          <w:highlight w:val="none"/>
        </w:rPr>
        <w:t>；</w:t>
      </w:r>
    </w:p>
    <w:p>
      <w:pPr>
        <w:spacing w:line="560" w:lineRule="exact"/>
        <w:ind w:firstLine="486"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4．本合同专用条款及其附件</w:t>
      </w:r>
      <w:r>
        <w:rPr>
          <w:rFonts w:hint="eastAsia" w:ascii="仿宋_GB2312" w:hAnsi="仿宋_GB2312" w:eastAsia="仿宋_GB2312" w:cs="仿宋_GB2312"/>
          <w:color w:val="auto"/>
          <w:sz w:val="24"/>
          <w:szCs w:val="24"/>
          <w:highlight w:val="none"/>
          <w:lang w:eastAsia="zh-CN"/>
        </w:rPr>
        <w:t>；</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5．本合同通用条款；</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6．技术标准和要求；</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szCs w:val="24"/>
          <w:highlight w:val="none"/>
        </w:rPr>
        <w:t>7．图纸；</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8．已标价工程量清单或预算书；</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9．其它合同文件。</w:t>
      </w:r>
    </w:p>
    <w:p>
      <w:pPr>
        <w:bidi w:val="0"/>
        <w:ind w:firstLine="566" w:firstLineChars="200"/>
        <w:outlineLvl w:val="9"/>
        <w:rPr>
          <w:rFonts w:hint="eastAsia"/>
          <w:b/>
          <w:bCs/>
          <w:color w:val="auto"/>
          <w:sz w:val="28"/>
          <w:szCs w:val="28"/>
          <w:highlight w:val="none"/>
        </w:rPr>
      </w:pPr>
      <w:r>
        <w:rPr>
          <w:rFonts w:hint="eastAsia"/>
          <w:b/>
          <w:bCs/>
          <w:color w:val="auto"/>
          <w:sz w:val="28"/>
          <w:szCs w:val="28"/>
          <w:highlight w:val="none"/>
        </w:rPr>
        <w:t>七、本协议书中有关词语含义与本合同第二部分《通用条款》中分别赋予它们的定义相同。</w:t>
      </w:r>
    </w:p>
    <w:p>
      <w:pPr>
        <w:bidi w:val="0"/>
        <w:ind w:firstLine="566" w:firstLineChars="200"/>
        <w:outlineLvl w:val="9"/>
        <w:rPr>
          <w:rFonts w:hint="eastAsia"/>
          <w:b/>
          <w:bCs/>
          <w:color w:val="auto"/>
          <w:sz w:val="28"/>
          <w:szCs w:val="28"/>
          <w:highlight w:val="none"/>
        </w:rPr>
      </w:pPr>
      <w:r>
        <w:rPr>
          <w:rFonts w:hint="eastAsia"/>
          <w:b/>
          <w:bCs/>
          <w:color w:val="auto"/>
          <w:sz w:val="28"/>
          <w:szCs w:val="28"/>
          <w:highlight w:val="none"/>
        </w:rPr>
        <w:t>八、分包人向承包人承诺，按照合同约定的工期和质量标准，完成本协议书第一条约定的工程（以下简称为“分包工程”），并在质量保修期内承担保修责任。</w:t>
      </w:r>
    </w:p>
    <w:p>
      <w:pPr>
        <w:bidi w:val="0"/>
        <w:ind w:firstLine="566" w:firstLineChars="200"/>
        <w:outlineLvl w:val="9"/>
        <w:rPr>
          <w:rFonts w:hint="eastAsia"/>
          <w:b/>
          <w:bCs/>
          <w:color w:val="auto"/>
          <w:sz w:val="28"/>
          <w:szCs w:val="28"/>
          <w:highlight w:val="none"/>
        </w:rPr>
      </w:pPr>
      <w:r>
        <w:rPr>
          <w:rFonts w:hint="eastAsia"/>
          <w:b/>
          <w:bCs/>
          <w:color w:val="auto"/>
          <w:sz w:val="28"/>
          <w:szCs w:val="28"/>
          <w:highlight w:val="none"/>
        </w:rPr>
        <w:t>九、分包人向承包人承诺，履行总包合同中与分包工程有关的承包人的所有义务，并与承包人承担履行分包工程合同以及确保分包工程质量的连带责任。</w:t>
      </w:r>
    </w:p>
    <w:p>
      <w:pPr>
        <w:bidi w:val="0"/>
        <w:ind w:firstLine="566" w:firstLineChars="200"/>
        <w:outlineLvl w:val="9"/>
        <w:rPr>
          <w:rFonts w:hint="eastAsia"/>
          <w:b/>
          <w:bCs/>
          <w:color w:val="auto"/>
          <w:sz w:val="28"/>
          <w:szCs w:val="28"/>
          <w:highlight w:val="none"/>
        </w:rPr>
      </w:pPr>
      <w:r>
        <w:rPr>
          <w:rFonts w:hint="eastAsia"/>
          <w:b/>
          <w:bCs/>
          <w:color w:val="auto"/>
          <w:sz w:val="28"/>
          <w:szCs w:val="28"/>
          <w:highlight w:val="none"/>
        </w:rPr>
        <w:t>十、承包人向分包人承诺，按照合同约定的期限和方式，支付本协议书第五条约定的合同价款（以下简称“分包合同价”），以及其他应当支付的款项。</w:t>
      </w:r>
    </w:p>
    <w:p>
      <w:pPr>
        <w:bidi w:val="0"/>
        <w:ind w:firstLine="486" w:firstLineChars="200"/>
        <w:outlineLvl w:val="9"/>
        <w:rPr>
          <w:rFonts w:hint="eastAsia"/>
          <w:b/>
          <w:bCs/>
          <w:color w:val="auto"/>
          <w:sz w:val="24"/>
          <w:szCs w:val="24"/>
          <w:highlight w:val="none"/>
        </w:rPr>
      </w:pPr>
      <w:bookmarkStart w:id="521" w:name="_Toc11922758"/>
      <w:bookmarkStart w:id="522" w:name="_Toc11922665"/>
      <w:bookmarkStart w:id="523" w:name="_Toc14319"/>
      <w:bookmarkStart w:id="524" w:name="_Toc6468"/>
      <w:bookmarkStart w:id="525" w:name="_Toc17880"/>
      <w:bookmarkStart w:id="526" w:name="_Toc28707"/>
      <w:bookmarkStart w:id="527" w:name="_Toc17750"/>
      <w:bookmarkStart w:id="528" w:name="_Toc17183"/>
      <w:bookmarkStart w:id="529" w:name="_Toc12847"/>
      <w:bookmarkStart w:id="530" w:name="_Toc20359"/>
      <w:bookmarkStart w:id="531" w:name="_Toc28298"/>
      <w:r>
        <w:rPr>
          <w:rFonts w:hint="eastAsia"/>
          <w:b/>
          <w:bCs/>
          <w:color w:val="auto"/>
          <w:sz w:val="24"/>
          <w:szCs w:val="24"/>
          <w:highlight w:val="none"/>
        </w:rPr>
        <w:t>十一、合同生效与终止</w:t>
      </w:r>
      <w:bookmarkEnd w:id="521"/>
      <w:bookmarkEnd w:id="522"/>
      <w:bookmarkEnd w:id="523"/>
      <w:bookmarkEnd w:id="524"/>
      <w:bookmarkEnd w:id="525"/>
      <w:bookmarkEnd w:id="526"/>
      <w:bookmarkEnd w:id="527"/>
      <w:bookmarkEnd w:id="528"/>
      <w:bookmarkEnd w:id="529"/>
      <w:bookmarkEnd w:id="530"/>
      <w:bookmarkEnd w:id="531"/>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合同订立时间：</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 年</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日</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合同订立地点：</w:t>
      </w:r>
      <w:r>
        <w:rPr>
          <w:rFonts w:hint="eastAsia" w:ascii="仿宋_GB2312" w:hAnsi="仿宋_GB2312" w:eastAsia="仿宋_GB2312" w:cs="仿宋_GB2312"/>
          <w:color w:val="auto"/>
          <w:sz w:val="24"/>
          <w:szCs w:val="24"/>
          <w:highlight w:val="none"/>
          <w:u w:val="single"/>
        </w:rPr>
        <w:t xml:space="preserve">                                    </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本合同自双方签字盖章后生效，合同规定的责任、权利和义务履行完毕且价款结清后终止。</w:t>
      </w:r>
    </w:p>
    <w:p>
      <w:pPr>
        <w:pageBreakBefore w:val="0"/>
        <w:kinsoku/>
        <w:wordWrap/>
        <w:overflowPunct/>
        <w:topLinePunct w:val="0"/>
        <w:bidi w:val="0"/>
        <w:spacing w:line="360" w:lineRule="auto"/>
        <w:ind w:firstLine="1215" w:firstLineChars="5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本合同正本两份，具有同等效力，甲乙双方各执一份；</w:t>
      </w:r>
    </w:p>
    <w:p>
      <w:pPr>
        <w:pageBreakBefore w:val="0"/>
        <w:kinsoku/>
        <w:wordWrap/>
        <w:overflowPunct/>
        <w:topLinePunct w:val="0"/>
        <w:bidi w:val="0"/>
        <w:spacing w:line="360" w:lineRule="auto"/>
        <w:ind w:firstLine="1215" w:firstLineChars="500"/>
        <w:rPr>
          <w:rFonts w:hint="eastAsia"/>
          <w:color w:val="auto"/>
          <w:highlight w:val="none"/>
        </w:rPr>
      </w:pPr>
      <w:r>
        <w:rPr>
          <w:rFonts w:hint="eastAsia" w:ascii="仿宋_GB2312" w:hAnsi="仿宋_GB2312" w:eastAsia="仿宋_GB2312" w:cs="仿宋_GB2312"/>
          <w:color w:val="auto"/>
          <w:sz w:val="24"/>
          <w:szCs w:val="24"/>
          <w:highlight w:val="none"/>
        </w:rPr>
        <w:t>本合同副本</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份，甲方执</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份，乙方执</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份。</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4"/>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744" w:type="dxa"/>
          </w:tcPr>
          <w:p>
            <w:pPr>
              <w:pageBreakBefore w:val="0"/>
              <w:kinsoku/>
              <w:wordWrap/>
              <w:overflowPunct/>
              <w:topLinePunct w:val="0"/>
              <w:bidi w:val="0"/>
              <w:spacing w:line="360" w:lineRule="auto"/>
              <w:jc w:val="center"/>
              <w:rPr>
                <w:rFonts w:hint="eastAsia" w:ascii="仿宋_GB2312" w:hAnsi="仿宋_GB2312" w:eastAsia="仿宋_GB2312" w:cs="仿宋_GB2312"/>
                <w:b/>
                <w:bCs/>
                <w:color w:val="auto"/>
                <w:szCs w:val="21"/>
                <w:highlight w:val="none"/>
              </w:rPr>
            </w:pPr>
            <w:bookmarkStart w:id="532" w:name="_Toc447095722"/>
            <w:r>
              <w:rPr>
                <w:rFonts w:hint="eastAsia" w:ascii="仿宋_GB2312" w:hAnsi="仿宋_GB2312" w:eastAsia="仿宋_GB2312" w:cs="仿宋_GB2312"/>
                <w:b/>
                <w:bCs/>
                <w:color w:val="auto"/>
                <w:szCs w:val="21"/>
                <w:highlight w:val="none"/>
              </w:rPr>
              <w:t>承包人</w:t>
            </w:r>
          </w:p>
          <w:p>
            <w:pPr>
              <w:pageBreakBefore w:val="0"/>
              <w:kinsoku/>
              <w:wordWrap/>
              <w:overflowPunct/>
              <w:topLinePunct w:val="0"/>
              <w:bidi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单位名称（章）：云南建投第十建设有限公司绥江分公司</w:t>
            </w:r>
          </w:p>
          <w:p>
            <w:pPr>
              <w:pageBreakBefore w:val="0"/>
              <w:widowControl/>
              <w:kinsoku/>
              <w:wordWrap/>
              <w:overflowPunct/>
              <w:topLinePunct w:val="0"/>
              <w:bidi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单位地址：云南省昭通市绥江县中城镇农业村7组</w:t>
            </w:r>
          </w:p>
          <w:p>
            <w:pPr>
              <w:pageBreakBefore w:val="0"/>
              <w:kinsoku/>
              <w:wordWrap/>
              <w:overflowPunct/>
              <w:topLinePunct w:val="0"/>
              <w:bidi w:val="0"/>
              <w:spacing w:line="360" w:lineRule="auto"/>
              <w:rPr>
                <w:rFonts w:hint="eastAsia" w:ascii="仿宋_GB2312" w:hAnsi="仿宋_GB2312" w:eastAsia="仿宋_GB2312" w:cs="仿宋_GB2312"/>
                <w:color w:val="auto"/>
                <w:szCs w:val="21"/>
                <w:highlight w:val="none"/>
              </w:rPr>
            </w:pPr>
          </w:p>
          <w:p>
            <w:pPr>
              <w:pageBreakBefore w:val="0"/>
              <w:kinsoku/>
              <w:wordWrap/>
              <w:overflowPunct/>
              <w:topLinePunct w:val="0"/>
              <w:bidi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法定代表人：</w:t>
            </w:r>
          </w:p>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color w:val="auto"/>
                <w:sz w:val="21"/>
                <w:szCs w:val="21"/>
                <w:highlight w:val="none"/>
              </w:rPr>
              <w:t>委</w:t>
            </w:r>
            <w:r>
              <w:rPr>
                <w:rFonts w:hint="eastAsia" w:ascii="仿宋_GB2312" w:hAnsi="仿宋_GB2312" w:eastAsia="仿宋_GB2312" w:cs="仿宋_GB2312"/>
                <w:b w:val="0"/>
                <w:bCs w:val="0"/>
                <w:color w:val="auto"/>
                <w:sz w:val="21"/>
                <w:szCs w:val="21"/>
                <w:highlight w:val="none"/>
              </w:rPr>
              <w:t>托代理人：</w:t>
            </w:r>
          </w:p>
          <w:p>
            <w:pPr>
              <w:pStyle w:val="2"/>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项目经理：</w:t>
            </w:r>
          </w:p>
          <w:p>
            <w:pPr>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主任经济师：</w:t>
            </w:r>
          </w:p>
          <w:p>
            <w:pPr>
              <w:pStyle w:val="2"/>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直管部经理;</w:t>
            </w:r>
          </w:p>
          <w:p>
            <w:pPr>
              <w:pStyle w:val="2"/>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val="0"/>
                <w:bCs w:val="0"/>
                <w:color w:val="auto"/>
                <w:sz w:val="21"/>
                <w:szCs w:val="21"/>
                <w:highlight w:val="none"/>
              </w:rPr>
              <w:t>电话：</w:t>
            </w:r>
          </w:p>
        </w:tc>
        <w:tc>
          <w:tcPr>
            <w:tcW w:w="4786" w:type="dxa"/>
          </w:tcPr>
          <w:p>
            <w:pPr>
              <w:pageBreakBefore w:val="0"/>
              <w:kinsoku/>
              <w:wordWrap/>
              <w:overflowPunct/>
              <w:topLinePunct w:val="0"/>
              <w:bidi w:val="0"/>
              <w:adjustRightInd w:val="0"/>
              <w:snapToGrid w:val="0"/>
              <w:spacing w:line="360" w:lineRule="auto"/>
              <w:jc w:val="center"/>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分包人</w:t>
            </w:r>
          </w:p>
          <w:p>
            <w:pPr>
              <w:pageBreakBefore w:val="0"/>
              <w:kinsoku/>
              <w:wordWrap/>
              <w:overflowPunct/>
              <w:topLinePunct w:val="0"/>
              <w:bidi w:val="0"/>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单位名称（章）:</w:t>
            </w:r>
          </w:p>
          <w:p>
            <w:pPr>
              <w:pageBreakBefore w:val="0"/>
              <w:kinsoku/>
              <w:wordWrap/>
              <w:overflowPunct/>
              <w:topLinePunct w:val="0"/>
              <w:bidi w:val="0"/>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单位地址:</w:t>
            </w:r>
          </w:p>
          <w:p>
            <w:pPr>
              <w:pageBreakBefore w:val="0"/>
              <w:kinsoku/>
              <w:wordWrap/>
              <w:overflowPunct/>
              <w:topLinePunct w:val="0"/>
              <w:bidi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法定代表人：</w:t>
            </w:r>
          </w:p>
          <w:p>
            <w:pPr>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委托代理人：</w:t>
            </w:r>
          </w:p>
          <w:p>
            <w:pPr>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电话：</w:t>
            </w:r>
          </w:p>
          <w:p>
            <w:pPr>
              <w:pageBreakBefore w:val="0"/>
              <w:kinsoku/>
              <w:wordWrap/>
              <w:overflowPunct/>
              <w:topLinePunct w:val="0"/>
              <w:bidi w:val="0"/>
              <w:spacing w:line="360" w:lineRule="auto"/>
              <w:rPr>
                <w:rFonts w:hint="eastAsia" w:ascii="仿宋_GB2312" w:hAnsi="仿宋_GB2312" w:eastAsia="仿宋_GB2312" w:cs="仿宋_GB2312"/>
                <w:color w:val="auto"/>
                <w:szCs w:val="21"/>
                <w:highlight w:val="none"/>
              </w:rPr>
            </w:pPr>
          </w:p>
        </w:tc>
      </w:tr>
    </w:tbl>
    <w:p>
      <w:pPr>
        <w:pageBreakBefore w:val="0"/>
        <w:kinsoku/>
        <w:wordWrap/>
        <w:overflowPunct/>
        <w:topLinePunct w:val="0"/>
        <w:bidi w:val="0"/>
        <w:spacing w:line="360" w:lineRule="auto"/>
        <w:rPr>
          <w:rFonts w:hint="eastAsia" w:ascii="仿宋_GB2312" w:hAnsi="仿宋_GB2312" w:eastAsia="仿宋_GB2312" w:cs="仿宋_GB2312"/>
          <w:color w:val="auto"/>
          <w:szCs w:val="21"/>
          <w:highlight w:val="none"/>
        </w:rPr>
      </w:pPr>
    </w:p>
    <w:p>
      <w:pPr>
        <w:pageBreakBefore w:val="0"/>
        <w:kinsoku/>
        <w:wordWrap/>
        <w:overflowPunct/>
        <w:topLinePunct w:val="0"/>
        <w:bidi w:val="0"/>
        <w:spacing w:line="360" w:lineRule="auto"/>
        <w:rPr>
          <w:rFonts w:hint="eastAsia" w:ascii="仿宋_GB2312" w:hAnsi="仿宋_GB2312" w:eastAsia="仿宋_GB2312" w:cs="仿宋_GB2312"/>
          <w:color w:val="auto"/>
          <w:szCs w:val="21"/>
          <w:highlight w:val="none"/>
        </w:rPr>
      </w:pPr>
    </w:p>
    <w:p>
      <w:pPr>
        <w:pageBreakBefore w:val="0"/>
        <w:kinsoku/>
        <w:wordWrap/>
        <w:overflowPunct/>
        <w:topLinePunct w:val="0"/>
        <w:bidi w:val="0"/>
        <w:spacing w:line="360" w:lineRule="auto"/>
        <w:rPr>
          <w:rFonts w:hint="eastAsia" w:ascii="仿宋_GB2312" w:hAnsi="仿宋_GB2312" w:eastAsia="仿宋_GB2312" w:cs="仿宋_GB2312"/>
          <w:color w:val="auto"/>
          <w:szCs w:val="21"/>
          <w:highlight w:val="none"/>
        </w:rPr>
      </w:pPr>
    </w:p>
    <w:p>
      <w:pPr>
        <w:pageBreakBefore w:val="0"/>
        <w:kinsoku/>
        <w:wordWrap/>
        <w:overflowPunct/>
        <w:topLinePunct w:val="0"/>
        <w:bidi w:val="0"/>
        <w:spacing w:line="360" w:lineRule="auto"/>
        <w:rPr>
          <w:rFonts w:hint="eastAsia" w:ascii="仿宋_GB2312" w:hAnsi="仿宋_GB2312" w:eastAsia="仿宋_GB2312" w:cs="仿宋_GB2312"/>
          <w:color w:val="auto"/>
          <w:szCs w:val="21"/>
          <w:highlight w:val="none"/>
        </w:rPr>
      </w:pPr>
    </w:p>
    <w:p>
      <w:pPr>
        <w:rPr>
          <w:rFonts w:hint="eastAsia" w:ascii="黑体" w:hAnsi="黑体" w:eastAsia="黑体" w:cs="黑体"/>
          <w:b/>
          <w:bCs/>
          <w:color w:val="auto"/>
          <w:highlight w:val="none"/>
        </w:rPr>
      </w:pPr>
      <w:bookmarkStart w:id="533" w:name="_Toc15197"/>
      <w:bookmarkStart w:id="534" w:name="_Toc8022"/>
      <w:bookmarkStart w:id="535" w:name="_Toc16281"/>
      <w:bookmarkStart w:id="536" w:name="_Toc1667"/>
      <w:bookmarkStart w:id="537" w:name="_Toc26707"/>
      <w:bookmarkStart w:id="538" w:name="_Toc15644"/>
      <w:bookmarkStart w:id="539" w:name="_Toc20446"/>
      <w:bookmarkStart w:id="540" w:name="_Toc18852"/>
      <w:bookmarkStart w:id="541" w:name="_Toc27331"/>
      <w:bookmarkStart w:id="542" w:name="_Toc20194"/>
      <w:bookmarkStart w:id="543" w:name="_Toc4947"/>
      <w:bookmarkStart w:id="544" w:name="_Toc28751"/>
      <w:bookmarkStart w:id="545" w:name="_Toc31164"/>
      <w:bookmarkStart w:id="546" w:name="_Toc27636"/>
      <w:bookmarkStart w:id="547" w:name="_Toc10717"/>
      <w:bookmarkStart w:id="548" w:name="_Toc10972"/>
      <w:bookmarkStart w:id="549" w:name="_Toc2405"/>
      <w:bookmarkStart w:id="550" w:name="_Toc24476_WPSOffice_Level1"/>
      <w:bookmarkStart w:id="551" w:name="_Toc11922666"/>
      <w:r>
        <w:rPr>
          <w:rFonts w:hint="eastAsia" w:ascii="黑体" w:hAnsi="黑体" w:eastAsia="黑体" w:cs="黑体"/>
          <w:b/>
          <w:bCs/>
          <w:color w:val="auto"/>
          <w:highlight w:val="none"/>
        </w:rPr>
        <w:br w:type="page"/>
      </w:r>
    </w:p>
    <w:p>
      <w:pPr>
        <w:pStyle w:val="4"/>
        <w:bidi w:val="0"/>
        <w:jc w:val="center"/>
        <w:rPr>
          <w:rFonts w:hint="eastAsia" w:ascii="仿宋_GB2312" w:hAnsi="仿宋_GB2312" w:eastAsia="仿宋_GB2312" w:cs="仿宋_GB2312"/>
          <w:b w:val="0"/>
          <w:bCs w:val="0"/>
          <w:color w:val="auto"/>
          <w:highlight w:val="none"/>
        </w:rPr>
      </w:pPr>
      <w:r>
        <w:rPr>
          <w:rFonts w:hint="eastAsia" w:ascii="黑体" w:hAnsi="黑体" w:eastAsia="黑体" w:cs="黑体"/>
          <w:b/>
          <w:bCs/>
          <w:color w:val="auto"/>
          <w:highlight w:val="none"/>
        </w:rPr>
        <w:t>第二部分  通用条款</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pPr>
        <w:pageBreakBefore w:val="0"/>
        <w:kinsoku/>
        <w:wordWrap/>
        <w:overflowPunct/>
        <w:topLinePunct w:val="0"/>
        <w:bidi w:val="0"/>
        <w:spacing w:line="360" w:lineRule="auto"/>
        <w:jc w:val="center"/>
        <w:rPr>
          <w:rFonts w:hint="eastAsia" w:ascii="仿宋_GB2312" w:hAnsi="仿宋_GB2312" w:eastAsia="仿宋_GB2312" w:cs="仿宋_GB2312"/>
          <w:color w:val="auto"/>
          <w:highlight w:val="none"/>
        </w:rPr>
      </w:pPr>
    </w:p>
    <w:bookmarkEnd w:id="532"/>
    <w:bookmarkEnd w:id="550"/>
    <w:bookmarkEnd w:id="551"/>
    <w:p>
      <w:pPr>
        <w:pStyle w:val="2"/>
        <w:pageBreakBefore w:val="0"/>
        <w:kinsoku/>
        <w:wordWrap/>
        <w:overflowPunct/>
        <w:topLinePunct w:val="0"/>
        <w:bidi w:val="0"/>
        <w:spacing w:before="0" w:after="0" w:line="360" w:lineRule="auto"/>
        <w:ind w:firstLine="566" w:firstLineChars="200"/>
        <w:jc w:val="center"/>
        <w:outlineLvl w:val="1"/>
        <w:rPr>
          <w:rFonts w:hint="eastAsia" w:ascii="仿宋_GB2312" w:hAnsi="仿宋_GB2312" w:eastAsia="仿宋_GB2312" w:cs="仿宋_GB2312"/>
          <w:b/>
          <w:bCs w:val="0"/>
          <w:color w:val="auto"/>
          <w:sz w:val="28"/>
          <w:szCs w:val="28"/>
          <w:highlight w:val="none"/>
        </w:rPr>
      </w:pPr>
      <w:bookmarkStart w:id="552" w:name="_Toc27671"/>
      <w:bookmarkStart w:id="553" w:name="_Toc31074"/>
      <w:bookmarkStart w:id="554" w:name="_Toc11922667"/>
      <w:bookmarkStart w:id="555" w:name="_Toc1296"/>
      <w:bookmarkStart w:id="556" w:name="_Toc9988"/>
      <w:bookmarkStart w:id="557" w:name="_Toc17594"/>
      <w:bookmarkStart w:id="558" w:name="_Toc5319"/>
      <w:bookmarkStart w:id="559" w:name="_Toc522_WPSOffice_Level2"/>
      <w:bookmarkStart w:id="560" w:name="_Toc5356"/>
      <w:bookmarkStart w:id="561" w:name="_Toc9295"/>
      <w:bookmarkStart w:id="562" w:name="_Toc10962"/>
      <w:bookmarkStart w:id="563" w:name="_Toc29348"/>
      <w:bookmarkStart w:id="564" w:name="_Toc447095723"/>
      <w:bookmarkStart w:id="565" w:name="_Toc25152"/>
      <w:bookmarkStart w:id="566" w:name="_Toc16664"/>
      <w:bookmarkStart w:id="567" w:name="_Toc4740"/>
      <w:r>
        <w:rPr>
          <w:rFonts w:hint="eastAsia" w:ascii="仿宋_GB2312" w:hAnsi="仿宋_GB2312" w:eastAsia="仿宋_GB2312" w:cs="仿宋_GB2312"/>
          <w:b/>
          <w:bCs w:val="0"/>
          <w:color w:val="auto"/>
          <w:sz w:val="28"/>
          <w:szCs w:val="28"/>
          <w:highlight w:val="none"/>
        </w:rPr>
        <w:t>一、词语定义及合同文件</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
      <w:pPr>
        <w:pageBreakBefore w:val="0"/>
        <w:kinsoku/>
        <w:wordWrap/>
        <w:overflowPunct/>
        <w:topLinePunct w:val="0"/>
        <w:bidi w:val="0"/>
        <w:adjustRightInd w:val="0"/>
        <w:snapToGrid w:val="0"/>
        <w:spacing w:line="360" w:lineRule="auto"/>
        <w:ind w:firstLine="486" w:firstLineChars="200"/>
        <w:outlineLvl w:val="3"/>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1.词语定义</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下列词语除专用条款另有约定外，应具有本条款所赋予的定义：</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 通用条款：是根据法律、行政法规规定及建设工程施工的需要订立，通用于分包工程施工的条款。</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 专用条款：是承包人与分包人根据法律、行政法规规定，结合具体工程实际，经协商达成一致意见的条款，是对通用条款的具体化、补充或修改。</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 发包人：指在总包合同协议书中约定的具有工程发包主体资格和支付工程价款能力的当事人，以及取得该当事人资格的合法继承人。</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 承包人：指在总包合同协议书中约定的，被发包人接受的具有工程施工总承包主体资格的当事人，以及取得该当事人资格的合法继承人。</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 分包人：指在本分包合同协议书中约定的，被承包人接受的具有分包该工程资格的当事人，以及取得该当事人资格的合法继承人。</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1.6 总包工程：指由发包人和承包人在总包合同协议书中约定的承包范围内的工程。</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 分包工程：指由承包人和分包人在本合同协议书中约定的分包范围内的工程。</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1.8 工程师：指在总包合同中约定的由工程监理单位委派的工程师或发包人指定的履行总包合同的代表，其具体身份和职权由发包人和承包人在总包合同专用条款中约定。</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1.9 项目经理：指承包人在总包合同专用条款和本合同专用条款中指定的负责施工管理、履行总包合同及本合同的代表。</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1.10 分包项目经理：指由分包人在分包合同专用条款中指定的负责施工管理和履行分包合同的代表。</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1.11 总包合同：指发包人与承包人之间签订的施工总承包合同，由协议书、通用条款和专用条款组成。</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1.12 总包合同条款：指中华人民共和国建设部和国家工商行政管理局于1999年修订印发的《建设工程施工合同（示范文本）》（建市[2017]214号）中的施工合同通用条款，以及经发包人和承包人协商一致的专用条款。</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1.13 分包合同：指承包人和分包人之间签订的施工专业分包合同，由协议书、通用条款和专用条款组成。</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1.14 工程建设标准：指与分包工程相关的工程建设标准，以及经承包人确认的，对工程建设标准进行的任何修改或增补。</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1.15 图纸：指由承包人提供的符合总包合同要求及分包合同需要的所有图纸、计算书、配套说明以及相关的技术资料。</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1.16 报价书：指由分包人根据分包合同的规定，为完成分包工程，向承包人提出的分包合同报价。在承包人采用招标方式确定分包人时，该报价书应与中标通知书中的中标价格一致。</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1.17 中标通知书：指由承包人发出的确定分包人中标的通知。</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1.18 开工日期：指承包人和分包人在本合同协议书中约定的，分包人开始施工的绝对或相对的日期。</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1.19 竣工日期：指承包人和分包人在本合同协议书中约定的，分包人完成分包工程的绝对或相对的日期。</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1.20合同价款：指承包人与分包人在本合同协议书中约定，承包人用以支付分包人按照分包合同完成分包范围内全部工程并承担质量保修责任的款项。</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1.21追加合同价款：指在分包合同履行过程中发生需要增加合同款项的情况，经承包人确认后，按双方约定的计算合同价款的方法增加的合同价款。</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1.22 施工场地：指由承包人提供的用于分包工程施工的场所，以及承包人在现场总平面图中具体指定的供分包人施工使用的任何其他场所。</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1.23 书面形式：指分包合同、信件和数据电文（包括电报、电传、传真、电子数据交换和电子邮件）等可以有形地表现所载内容的形式。</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1.24 违约责任：指合同一方不履行合同义务或履行合同义务不符合约定内容，所应承担的责任。</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1.25 索赔：指在合同履行过程中，对于并非自己的过错，而是应由对方承担责任的情况造成的实际损失，向对方提出经济补偿和（或）工期顺延的要求。</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1.26 不可抗力：指不能预见、不能避免并不能克服的客观情况。</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1.27 小时或天：本合同中规定按小时计算时间的，从事件有效开始时计算（不扣除休息时间）；规定按天计算时间的，开始当天不计入，从次日开始计算。时限的最后一天是休息日或者其他法定节假日的，以休息日或节假日次日为时限的最后一天，但竣工日期除外。时限的最后一天的截止时间为当日24时。</w:t>
      </w:r>
    </w:p>
    <w:p>
      <w:pPr>
        <w:pageBreakBefore w:val="0"/>
        <w:kinsoku/>
        <w:wordWrap/>
        <w:overflowPunct/>
        <w:topLinePunct w:val="0"/>
        <w:bidi w:val="0"/>
        <w:adjustRightInd w:val="0"/>
        <w:snapToGrid w:val="0"/>
        <w:spacing w:line="360" w:lineRule="auto"/>
        <w:ind w:firstLine="486" w:firstLineChars="200"/>
        <w:outlineLvl w:val="3"/>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2.合同文件及解释顺序</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4"/>
          <w:highlight w:val="none"/>
        </w:rPr>
        <w:t>2.1合同文件应能互相解释，互为说明。除本合同</w:t>
      </w:r>
      <w:r>
        <w:rPr>
          <w:rFonts w:hint="eastAsia" w:ascii="仿宋_GB2312" w:hAnsi="仿宋_GB2312" w:eastAsia="仿宋_GB2312" w:cs="仿宋_GB2312"/>
          <w:color w:val="auto"/>
          <w:sz w:val="24"/>
          <w:szCs w:val="24"/>
          <w:highlight w:val="none"/>
          <w:lang w:eastAsia="zh-CN"/>
        </w:rPr>
        <w:t>协议书、</w:t>
      </w:r>
      <w:r>
        <w:rPr>
          <w:rFonts w:hint="eastAsia" w:ascii="仿宋_GB2312" w:hAnsi="仿宋_GB2312" w:eastAsia="仿宋_GB2312" w:cs="仿宋_GB2312"/>
          <w:color w:val="auto"/>
          <w:sz w:val="24"/>
          <w:szCs w:val="24"/>
          <w:highlight w:val="none"/>
        </w:rPr>
        <w:t>专用条款另有约定外，组成本合同的文件及优先解释顺序如下：</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（1）本合同协议书；</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（2）中标通知书（如有）；</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（3）分包人的投标函及报价书；</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（4）除总包合同工程价款之外的总包合同文件。</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（5）本合同专用条款；</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（6）本合同通用条款；</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（7）本合同工程建设标准、图纸；</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（8）合同履行过程中，承包人和分包人协商一致的其他书面文件。</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 当合同文件内容出现含糊不清或不相一致时，应在不影响工程正常进行的情况下，由分包人和承包人协商解决。双方协商不成时，按本合同通用条款第28条关于争议的约定处理。</w:t>
      </w:r>
    </w:p>
    <w:p>
      <w:pPr>
        <w:pageBreakBefore w:val="0"/>
        <w:kinsoku/>
        <w:wordWrap/>
        <w:overflowPunct/>
        <w:topLinePunct w:val="0"/>
        <w:bidi w:val="0"/>
        <w:adjustRightInd w:val="0"/>
        <w:snapToGrid w:val="0"/>
        <w:spacing w:line="360" w:lineRule="auto"/>
        <w:ind w:firstLine="486" w:firstLineChars="200"/>
        <w:outlineLvl w:val="3"/>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3.语言文字和适用法律、行政法规及工程建设标准</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 语言文字</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除本合同专用条款中另有约定，本合同文件使用的语言文字应与总包合同文件使用的语言文字相同。</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3.2 适用法律和行政法规</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除本合同专用条款中另有约定，本合同适用的法律、法规应与总包合同中规定适用的法律、法规相同。需要明示的法律、行政法规在专用条款内约定。</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3.3 适用工程建设标准</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双方在本合同专用条款内约定适用的工程建设标准的名称；本合同专用条款没有具体约定的，应使用总包合同中所规定的与分包工程有关的工程建设标准。承包人应按本合同专用条款约定的时间向分包人提供一式两份约定的工程建设标准。</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本合同中没有相应工程建设标准的，应由承包人按照本合同专用条款约定的时间向分包人提出施工技术要求，分包人按约定的时间和要求提出施工工艺，经承包人确认后执行。</w:t>
      </w:r>
    </w:p>
    <w:p>
      <w:pPr>
        <w:pageBreakBefore w:val="0"/>
        <w:kinsoku/>
        <w:wordWrap/>
        <w:overflowPunct/>
        <w:topLinePunct w:val="0"/>
        <w:bidi w:val="0"/>
        <w:adjustRightInd w:val="0"/>
        <w:snapToGrid w:val="0"/>
        <w:spacing w:line="360" w:lineRule="auto"/>
        <w:ind w:firstLine="486" w:firstLineChars="200"/>
        <w:outlineLvl w:val="3"/>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4.图纸</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4.1 承包人应按照本合同专用条款约定的日期和套数，向分包人提供图纸。分包人需要增加约定以外图纸套数的，承包人应代为复制，复制费用由分包人承担；如根据总包合同，承包人对工程图纸负有保密义务的，分包人应负责分包工程范围内图纸的保密工作，分包人的保密义务在分包合同终止后，应当继续履行。</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 如分包工程的图纸不能完全满足施工需要，并且承包人委托分包人进行深化施工图设计的，分包人应在其设计资质等级和业务允许的范围内，在原分包工程图纸的基础上，根据国家有关工程建设标准进行深化设计，分包人的深化设计须经过承包人确认后方可进行施工。如分包人不具备相应的设计资质，应由承包人委托具有相应资质的单位进行深化设计。分包人应对自行设计的图纸负有全部的法律责任。</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关于承包人委托分包人进行深化施工图设计的范围及发生的费用，双方应在专用条款中约定。</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4.3承包人提供的图纸不能满足分包工程施工需要时，双方在专用条款内约定复制、重新绘制、翻译、购买标准图纸等的责任和费用承担。</w:t>
      </w:r>
    </w:p>
    <w:p>
      <w:pPr>
        <w:pStyle w:val="2"/>
        <w:pageBreakBefore w:val="0"/>
        <w:kinsoku/>
        <w:wordWrap/>
        <w:overflowPunct/>
        <w:topLinePunct w:val="0"/>
        <w:bidi w:val="0"/>
        <w:spacing w:before="0" w:after="0" w:line="360" w:lineRule="auto"/>
        <w:ind w:firstLine="566" w:firstLineChars="200"/>
        <w:jc w:val="center"/>
        <w:outlineLvl w:val="1"/>
        <w:rPr>
          <w:rFonts w:hint="eastAsia" w:ascii="仿宋_GB2312" w:hAnsi="仿宋_GB2312" w:eastAsia="仿宋_GB2312" w:cs="仿宋_GB2312"/>
          <w:b w:val="0"/>
          <w:color w:val="auto"/>
          <w:sz w:val="28"/>
          <w:szCs w:val="28"/>
          <w:highlight w:val="none"/>
        </w:rPr>
      </w:pPr>
      <w:bookmarkStart w:id="568" w:name="_Toc13523"/>
      <w:bookmarkStart w:id="569" w:name="_Toc447095724"/>
      <w:bookmarkStart w:id="570" w:name="_Toc6191"/>
      <w:bookmarkStart w:id="571" w:name="_Toc12613_WPSOffice_Level2"/>
      <w:bookmarkStart w:id="572" w:name="_Toc23200"/>
      <w:bookmarkStart w:id="573" w:name="_Toc8304"/>
      <w:bookmarkStart w:id="574" w:name="_Toc16618"/>
      <w:bookmarkStart w:id="575" w:name="_Toc11922668"/>
      <w:bookmarkStart w:id="576" w:name="_Toc10903"/>
      <w:bookmarkStart w:id="577" w:name="_Toc23715"/>
      <w:bookmarkStart w:id="578" w:name="_Toc8530"/>
      <w:bookmarkStart w:id="579" w:name="_Toc3978"/>
      <w:bookmarkStart w:id="580" w:name="_Toc23882"/>
      <w:bookmarkStart w:id="581" w:name="_Toc16919"/>
      <w:bookmarkStart w:id="582" w:name="_Toc30780"/>
      <w:bookmarkStart w:id="583" w:name="_Toc25591"/>
      <w:r>
        <w:rPr>
          <w:rFonts w:hint="eastAsia" w:ascii="仿宋_GB2312" w:hAnsi="仿宋_GB2312" w:eastAsia="仿宋_GB2312" w:cs="仿宋_GB2312"/>
          <w:b/>
          <w:bCs w:val="0"/>
          <w:color w:val="auto"/>
          <w:sz w:val="28"/>
          <w:szCs w:val="28"/>
          <w:highlight w:val="none"/>
        </w:rPr>
        <w:t>二、双方一般权利和义务</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5.总包合同</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 分包人对总包合同的了解</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承包人应提供总包合同（有关承包工程的价格内容除外）供分包人查阅。当分包人要求时，承包人应向分包人提供一份总包合同（有关承包工程的价格内容除外）的副本或复印件。分包人应全面了解总包合同的各项规定（有关承包工程的价格内容除外）。</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5.2 分包人对有关分包工程的责任</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除本合同条款另有约定，分包人应履行并承担总包合同中与分包工程有关的承包人的所有义务与责任，同时应避免因分包人自身行为或疏漏造成承包人违反总包合同中约定的承包人义务的情况发生。</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5.3 分包人与发包人的关系</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分包人须服从承包人转发的发包人或工程师与分包工程有关的指令。未经承包人允许，分包人不得以任何理由与发包人或工程师发生直接工作联系，分包人不得直接致函发包人或工程师，也不得直接接受发包人或工程师的指令。如分包人与发包人或工程师发生直接工作联系，将被视为违约，并承担违约责任。</w:t>
      </w:r>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6.指令和决定</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6.1 承包人指令</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就分包工程范围内的有关工作，承包人随时可以向分包人发出指令，分包人应执行承包人根据分包合同所发出的所有指令。分包人拒不执行指令，承包人可委托其他施工单位完成该指令事项，发生的费用从应付给分包人的相应款项中扣除。</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6.2 发包人或工程师指令</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就分包工程范围内的有关工作，分包人应执行经承包人确认和转发的发包人或工程师发出的所有指令和决定。</w:t>
      </w:r>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7.项目经理</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7.1 项目经理的姓名、职称在本合同专用条款内写明。</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7.2 项目经理可授权具体的管理人员行使自己的部分权利，并在认为有必要时可撤回授权，授权和撤回均应提前7天以书面形式通知分包人，委派书及撤回通知作为分包合同的附件。</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7.3 承包人所发出的指令、通知，由项目经理（或其授权人）签字后，以书面形式交给分包人，分包项目经理在回执上签署自己的姓名及收到时间后生效。确有必要时，项目经理可发出口头指令，并在48小时内给予书面确认。项目经理在48小时后未予书面确认的，分包人应于承包人发出口头指令后7天内提出书面确认要求，项目经理在分包人提出确认要求后7天内不予答复，应视为分包人要求已被确认。分包人认为承包人指令不合理，应在收到指令后24小时内提出书面申告，承包人在收到分包人申告后24小时内作出修改指令或继续执行原指令的决定，并以书面形式通知分包人。紧急情况下，项目经理可发出要求分包人立即执行的指令，分包人如有异议也应执行。如承包人发出错误的指令，并给分包人造成经济损失的，则承包人应给予分包人相应的补偿，但因分包人违反分包合同引起的损失除外。</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7.4 项目经理应按分包合同的约定，及时向分包人提供所需的指令、批准、图纸并履行其它约定的义务，否则分包人应在约定时间后24小时内将具体要求、需要的理由及延误的后果通知承包人，项目经理在收到通知后48小时内不予答复，应承担因延误造成的损失。</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7.5 承包人如需更换项目经理，应提前7天以书面形式或其他行式通知分包人，后任继续行使前任的职权，履行前任的义务。</w:t>
      </w:r>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8.分包项目经理（如有时）</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8.1 分包项目经理的姓名、职称在本合同专用条款内写明。</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8.2 分包人依据合同发出的请求和通知，以书面形式由分包项目经理签字后送交项目经理，项目经理在回执上签署姓名和收到的时间后生效。</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8.3分包项目经理按项目经理有效履行承包人管理程序批准的施工组织设计（或施工方案）和依据分包合同发出的指令组织施工。在情况紧急且无法与项目经理取得联系时，分包项目经理应采取保证人员生命和工程、财产安全的紧急措施，并在采取措施后48小时内向项目经理送交报告。责任在承包人或第三人，由承包人承担由此发生的追加合同价款，相应顺延工期；责任在分包人，由分包人承担费用，不顺延工期。</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8.4 分包人如需更换分包项目经理，应至少提前7天以书面形式通知承包人，并征得承包人同意，后任继续行使前任的职权，履行前任的义务。</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8.5 承包人可与分包人协商，建议更换其认为不称职的分包项目经理。</w:t>
      </w:r>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9.承包人的工作</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9.1 承包人应按本合同专用条款约定的内容和时间，一次或分阶段完成下列工作：</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（1）向分包人提供根据总包合同由发包人办理的与分包工程相关的各种证件、批件、各种相关资料，向分包人提供具备施工条件的施工场地。</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（2）按本合同专用条款约定的时间，组织分包人参加发包人组织的图纸会审，向分包人进行设计图纸交底。</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（3）提供本合同专用条款中约定的设备和设施，并按约定承担因此发生的费用。</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（4）为分包人提供确保分包工程的施工所要求的施工场地和通道等，满足施工运输的需要，保证施工期间的畅通。</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（5）负责整个施工场地的管理工作，协调分包人与同一施工场地的其它分包人之间的交叉配合，确保分包人按照经批准的施工组织设计进行施工。</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（6）承包人应做的其他工作，双方在本合同专用条款内约定。</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9.2 承包人未履行前款各项义务，导致工期延误或给分包人造成损失的，承包人赔偿分包人的相应损失，顺延延误的工期。</w:t>
      </w:r>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10.分包人的工作</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10.1分包人应按本合同专用条款约定的内容和时间，完成下列工作：</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分包人应按照分包合同的约定，对分包工程进行设计（分包合同有约定时）、施工、竣工和保修。分包人在审阅分包合同和（或）总包合同时，或在分包合同的施工中，如发现分包工程的设计或工程建设标准、技术要求存在错误、遗漏、失误或其它缺陷，应立即通知承包人。</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（2）按照本合同专用条款约定的时间，完成规定的设计内容，报承包人确认后在分包工程中使用。承包人承担由此发生的费用。</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在本合同专用条款约定的时间内，向承包人提供年、季、月度工程进度计划及相应进度统计报表。分包人不能按承包人批准的进度计划施工时，应根据承包人的要求提交一份修订的进度计划，以保证分包工程如期竣工。</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（4）分包人应在专用条款约定的时间内，向承包人提交一份详细施工组织设计，承包人应在专用条款约定的时间内批准，分包人方可执行。</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遵守政府有关主管部门对施工场地交通、施工噪音以及环境保护和安全文明生产等的管理规定，按规定办理有关手续，并以书面形式通知承包人，承包人承担由此发生的费用，因分包人责任造成的罚款除外。</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分包人应允许承包人、发包人、工程师及其三方中任何一方授权的人员在工作时间内，合理进入分包工程施工场地或材料存放的地点，以及施工场地以外与分包合同有关的分包人的任何工作或准备的地点，分包人应提供方便。</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已竣工工程未交付承包人之前，分包人应负责已完分包工程的成品保护工作，保护期间发生损坏，分包人自费予以修复；承包人要求分包人采取特殊措施保护的工程部位和相应的追加合同价款，双方在本合同专用条款内约定。</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（8）分包人应做的其他工作，双方在本合同专用条款内约定。</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10.2 分包人未履行前款各项义务，造成承包人损失的，分包人赔偿承包人有关损失。</w:t>
      </w:r>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11.总包合同解除</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11.1 如在分包人没有全面履行分包合同义务之前，总包合同解除，则承包人应及时通知分包人解除分包合同，分包人接到通知后应尽快撤离现场。</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11.2 因本合同第11.1款原因终止分包合同，分包人可以得到：已完工程价款、分包人员工的遣散费、二次搬运费等补偿。如本合同第11.1款约定的总包合同终止是因为分包人的严重违约，则只能得到已完工程价款补偿。</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11.3 在本合同第11.1款解除分包合同的情况下，分包人经承包人同意为分包工程已采购或已运至施工场地的材料设备，应全部移交给承包人，由承包人按本合同专用条款约定的价格支付给分包人。</w:t>
      </w:r>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12.转包与再分包</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t>12</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bCs/>
          <w:color w:val="auto"/>
          <w:sz w:val="24"/>
          <w:szCs w:val="24"/>
          <w:highlight w:val="none"/>
        </w:rPr>
        <w:t>1 除12</w:t>
      </w:r>
      <w:r>
        <w:rPr>
          <w:rFonts w:hint="eastAsia" w:ascii="仿宋_GB2312" w:hAnsi="仿宋_GB2312" w:eastAsia="仿宋_GB2312" w:cs="仿宋_GB2312"/>
          <w:color w:val="auto"/>
          <w:sz w:val="24"/>
          <w:szCs w:val="24"/>
          <w:highlight w:val="none"/>
        </w:rPr>
        <w:t>.2款规定的情况外，</w:t>
      </w:r>
      <w:r>
        <w:rPr>
          <w:rFonts w:hint="eastAsia" w:ascii="仿宋_GB2312" w:hAnsi="仿宋_GB2312" w:eastAsia="仿宋_GB2312" w:cs="仿宋_GB2312"/>
          <w:bCs/>
          <w:color w:val="auto"/>
          <w:sz w:val="24"/>
          <w:szCs w:val="24"/>
          <w:highlight w:val="none"/>
        </w:rPr>
        <w:t>分包人不得将其承包的分包工程转包给他人，也不得将其承包的分包工程的全部或部分再分包给他人。如分包人将其承包的分包工程转包或再分包，将</w:t>
      </w:r>
      <w:r>
        <w:rPr>
          <w:rFonts w:hint="eastAsia" w:ascii="仿宋_GB2312" w:hAnsi="仿宋_GB2312" w:eastAsia="仿宋_GB2312" w:cs="仿宋_GB2312"/>
          <w:color w:val="auto"/>
          <w:sz w:val="24"/>
          <w:szCs w:val="24"/>
          <w:highlight w:val="none"/>
        </w:rPr>
        <w:t>被视为违约，并承担违约责任。</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t>12</w:t>
      </w:r>
      <w:r>
        <w:rPr>
          <w:rFonts w:hint="eastAsia" w:ascii="仿宋_GB2312" w:hAnsi="仿宋_GB2312" w:eastAsia="仿宋_GB2312" w:cs="仿宋_GB2312"/>
          <w:color w:val="auto"/>
          <w:sz w:val="24"/>
          <w:szCs w:val="24"/>
          <w:highlight w:val="none"/>
        </w:rPr>
        <w:t>.2 分包人经承包人同意可以将劳务作业再分包给具有相应劳务分包资质的劳务分包企业。</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12</w:t>
      </w:r>
      <w:r>
        <w:rPr>
          <w:rFonts w:hint="eastAsia" w:ascii="仿宋_GB2312" w:hAnsi="仿宋_GB2312" w:eastAsia="仿宋_GB2312" w:cs="仿宋_GB2312"/>
          <w:color w:val="auto"/>
          <w:sz w:val="24"/>
          <w:szCs w:val="24"/>
          <w:highlight w:val="none"/>
        </w:rPr>
        <w:t>.3 分包人应对再分包的劳务作业的质量等相关事宜进行督促和检查，并承担相关连带责任。</w:t>
      </w:r>
    </w:p>
    <w:p>
      <w:pPr>
        <w:pStyle w:val="2"/>
        <w:pageBreakBefore w:val="0"/>
        <w:kinsoku/>
        <w:wordWrap/>
        <w:overflowPunct/>
        <w:topLinePunct w:val="0"/>
        <w:bidi w:val="0"/>
        <w:spacing w:before="0" w:after="0" w:line="360" w:lineRule="auto"/>
        <w:ind w:firstLine="566" w:firstLineChars="200"/>
        <w:jc w:val="center"/>
        <w:outlineLvl w:val="1"/>
        <w:rPr>
          <w:rFonts w:hint="eastAsia" w:ascii="仿宋_GB2312" w:hAnsi="仿宋_GB2312" w:eastAsia="仿宋_GB2312" w:cs="仿宋_GB2312"/>
          <w:b w:val="0"/>
          <w:color w:val="auto"/>
          <w:sz w:val="28"/>
          <w:szCs w:val="28"/>
          <w:highlight w:val="none"/>
        </w:rPr>
      </w:pPr>
      <w:bookmarkStart w:id="584" w:name="_Toc21228"/>
      <w:bookmarkStart w:id="585" w:name="_Toc1102_WPSOffice_Level2"/>
      <w:bookmarkStart w:id="586" w:name="_Toc11496"/>
      <w:bookmarkStart w:id="587" w:name="_Toc22621"/>
      <w:bookmarkStart w:id="588" w:name="_Toc4361"/>
      <w:bookmarkStart w:id="589" w:name="_Toc30197"/>
      <w:bookmarkStart w:id="590" w:name="_Toc31413"/>
      <w:bookmarkStart w:id="591" w:name="_Toc2275"/>
      <w:bookmarkStart w:id="592" w:name="_Toc13152"/>
      <w:bookmarkStart w:id="593" w:name="_Toc25242"/>
      <w:bookmarkStart w:id="594" w:name="_Toc28753"/>
      <w:bookmarkStart w:id="595" w:name="_Toc27296"/>
      <w:bookmarkStart w:id="596" w:name="_Toc4168"/>
      <w:bookmarkStart w:id="597" w:name="_Toc447095725"/>
      <w:bookmarkStart w:id="598" w:name="_Toc17174"/>
      <w:bookmarkStart w:id="599" w:name="_Toc11922669"/>
      <w:r>
        <w:rPr>
          <w:rFonts w:hint="eastAsia" w:ascii="仿宋_GB2312" w:hAnsi="仿宋_GB2312" w:eastAsia="仿宋_GB2312" w:cs="仿宋_GB2312"/>
          <w:b/>
          <w:bCs w:val="0"/>
          <w:color w:val="auto"/>
          <w:sz w:val="28"/>
          <w:szCs w:val="28"/>
          <w:highlight w:val="none"/>
        </w:rPr>
        <w:t>三、工期</w: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bCs/>
          <w:color w:val="auto"/>
          <w:sz w:val="24"/>
          <w:szCs w:val="24"/>
          <w:highlight w:val="none"/>
        </w:rPr>
        <w:t>13.开工与延期开工</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13.1 分包人应当按照本合同协议书约定的开工日期开工。分包人不能按时开工，应当不迟于本合同协议书约定的开工日期前5天，以书面形式向承包人提出延期开工的理由。承包人应当在接到延期开工申请后的48小时内以书面形式答复分包人。承包人在接到延期开工申请后48小时内不答复，视为同意分包人要求，工期相应顺延。承包人不同意延期要求或分包人未在规定时间内提出延期开工要求，工期不予顺延。</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13.2 因承包人原因不能按照本合同协议书约定的开工日期开工，项目经理应以书面形式通知分包人，推迟开工日期。承包人赔偿分包人因延期开工造成的损失，并相应顺延工期。</w:t>
      </w:r>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14.工期延误</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14.1 因下列原因之一造成分包工程工期延误，经项目经理确认，工期相应顺延：</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（1）承包人根据总包合同从工程师处获得与分包合同相关的竣工时间延长；</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（2）承包人未按本合同专用条款的约定提供图纸、开工条件、设备设施、施工场地；</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（3）承包人未按约定日期支付工程预付款、进度款，致使分包工程施工不能正常进行；</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（4）项目经理未按分包合同约定提供所需的指令、批准或所发出的指令错误，致使分包工程施工不能正常进行；</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（5）非分包人原因的分包工程范围内的工程变更及工程量增加；</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（6）不可抗力的原因；</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（7）本合同专用条款中约定的或项目经理同意工期顺延的其他情况。</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14.2 分包人应在14.1款约定情况发生后14天内，就延误的工期以书面形式向承包人提出报告。承包人在收到报告后14天内予以确认，逾期不予确认也不提出修改意见，视为同意顺延工期。</w:t>
      </w:r>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15.暂停施工</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15.1 发包人或工程师认为确有必要暂停施工时，应以书面形式通过承包人向分包人发出暂停施工指令，并在提出要求后48小时内提出书面处理意见。分包人停工和复工程序以及暂停施工所发生的费用，按总包合同相应条款履行。</w:t>
      </w:r>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16.工程竣工</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16.1 分包人应按照本合同协议书约定的竣工日期或承包人同意顺延的工期竣工。</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16.2 因分包人原因不能按照本合同协议书约定的竣工日期或承包人同意顺延的工期竣工的，分包人承担违约责任。</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16.3 提前竣工程序按总包合同相应条款履行。</w:t>
      </w:r>
    </w:p>
    <w:p>
      <w:pPr>
        <w:pStyle w:val="2"/>
        <w:pageBreakBefore w:val="0"/>
        <w:kinsoku/>
        <w:wordWrap/>
        <w:overflowPunct/>
        <w:topLinePunct w:val="0"/>
        <w:bidi w:val="0"/>
        <w:spacing w:before="0" w:after="0" w:line="360" w:lineRule="auto"/>
        <w:ind w:firstLine="566" w:firstLineChars="200"/>
        <w:jc w:val="center"/>
        <w:outlineLvl w:val="1"/>
        <w:rPr>
          <w:rFonts w:hint="eastAsia" w:ascii="仿宋_GB2312" w:hAnsi="仿宋_GB2312" w:eastAsia="仿宋_GB2312" w:cs="仿宋_GB2312"/>
          <w:b/>
          <w:bCs w:val="0"/>
          <w:color w:val="auto"/>
          <w:sz w:val="28"/>
          <w:szCs w:val="28"/>
          <w:highlight w:val="none"/>
        </w:rPr>
      </w:pPr>
      <w:bookmarkStart w:id="600" w:name="_Toc30303"/>
      <w:bookmarkStart w:id="601" w:name="_Toc12961"/>
      <w:bookmarkStart w:id="602" w:name="_Toc4884"/>
      <w:bookmarkStart w:id="603" w:name="_Toc9544"/>
      <w:bookmarkStart w:id="604" w:name="_Toc8682"/>
      <w:bookmarkStart w:id="605" w:name="_Toc24863"/>
      <w:bookmarkStart w:id="606" w:name="_Toc22071_WPSOffice_Level2"/>
      <w:bookmarkStart w:id="607" w:name="_Toc27539"/>
      <w:bookmarkStart w:id="608" w:name="_Toc11503"/>
      <w:bookmarkStart w:id="609" w:name="_Toc15592"/>
      <w:bookmarkStart w:id="610" w:name="_Toc22749"/>
      <w:bookmarkStart w:id="611" w:name="_Toc2725"/>
      <w:bookmarkStart w:id="612" w:name="_Toc4307"/>
      <w:bookmarkStart w:id="613" w:name="_Toc24901"/>
      <w:bookmarkStart w:id="614" w:name="_Toc447095726"/>
      <w:bookmarkStart w:id="615" w:name="_Toc11922670"/>
      <w:r>
        <w:rPr>
          <w:rFonts w:hint="eastAsia" w:ascii="仿宋_GB2312" w:hAnsi="仿宋_GB2312" w:eastAsia="仿宋_GB2312" w:cs="仿宋_GB2312"/>
          <w:b/>
          <w:bCs w:val="0"/>
          <w:color w:val="auto"/>
          <w:sz w:val="28"/>
          <w:szCs w:val="28"/>
          <w:highlight w:val="none"/>
        </w:rPr>
        <w:t>四、质量与安全</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17.质量检查与验收</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17.1 分包工程质量应达到本合同协议书和本合同专用条款约定的工程质量标准，质量评定标准按照总包合同相应条款履行。因分包人原因工程质量达不到约定的质量标准，分包人应承担违约责任，违约金计算方法或额度在本合同专用条款内约定或依据投标承诺等合同附件执行。</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17.2 双方对工程质量的争议，按照总包合同相应的条款履行。</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17.3 分包工程的检查、验收及工程试车等，按照总包合同相应的条款履行。分包人应就分包工程向承包人承担总包合同约定的承包人应承担的义务，但并不免除承包人根据总包合同应承担的总包质量管理的责任。</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17.4 分包人允许并配合承包人或工程师进入分包人施工场地检查工程质量。</w:t>
      </w:r>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18.安全施工</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18.1 分包人应遵守工程建设安全生产有关管理规定，严格按照安全标准组织施工，承担由于自身安全措施不力造成事故的责任和因此发生的费用。</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18.2 在施工场地涉及危险地区或需要安全防护措施施工时，分包人应提出安全防护措施，经承包人批准后实施，发生的相应费用由承包人承担。</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18.3 发生安全事故，按照分包人投标承诺及专用条款约定处理。</w:t>
      </w:r>
    </w:p>
    <w:p>
      <w:pPr>
        <w:pStyle w:val="2"/>
        <w:pageBreakBefore w:val="0"/>
        <w:kinsoku/>
        <w:wordWrap/>
        <w:overflowPunct/>
        <w:topLinePunct w:val="0"/>
        <w:bidi w:val="0"/>
        <w:spacing w:before="0" w:after="0" w:line="360" w:lineRule="auto"/>
        <w:ind w:firstLine="566" w:firstLineChars="200"/>
        <w:jc w:val="center"/>
        <w:outlineLvl w:val="1"/>
        <w:rPr>
          <w:rFonts w:hint="eastAsia" w:ascii="仿宋_GB2312" w:hAnsi="仿宋_GB2312" w:eastAsia="仿宋_GB2312" w:cs="仿宋_GB2312"/>
          <w:b/>
          <w:bCs w:val="0"/>
          <w:color w:val="auto"/>
          <w:sz w:val="28"/>
          <w:szCs w:val="28"/>
          <w:highlight w:val="none"/>
        </w:rPr>
      </w:pPr>
      <w:bookmarkStart w:id="616" w:name="_Toc26436"/>
      <w:bookmarkStart w:id="617" w:name="_Toc20239"/>
      <w:bookmarkStart w:id="618" w:name="_Toc13303"/>
      <w:bookmarkStart w:id="619" w:name="_Toc7844"/>
      <w:bookmarkStart w:id="620" w:name="_Toc18183"/>
      <w:bookmarkStart w:id="621" w:name="_Toc32655"/>
      <w:bookmarkStart w:id="622" w:name="_Toc28957"/>
      <w:bookmarkStart w:id="623" w:name="_Toc13713"/>
      <w:bookmarkStart w:id="624" w:name="_Toc16104"/>
      <w:bookmarkStart w:id="625" w:name="_Toc11922671"/>
      <w:bookmarkStart w:id="626" w:name="_Toc1539"/>
      <w:bookmarkStart w:id="627" w:name="_Toc17081"/>
      <w:bookmarkStart w:id="628" w:name="_Toc447095727"/>
      <w:bookmarkStart w:id="629" w:name="_Toc14749"/>
      <w:bookmarkStart w:id="630" w:name="_Toc25679"/>
      <w:bookmarkStart w:id="631" w:name="_Toc30690_WPSOffice_Level2"/>
      <w:r>
        <w:rPr>
          <w:rFonts w:hint="eastAsia" w:ascii="仿宋_GB2312" w:hAnsi="仿宋_GB2312" w:eastAsia="仿宋_GB2312" w:cs="仿宋_GB2312"/>
          <w:b/>
          <w:bCs w:val="0"/>
          <w:color w:val="auto"/>
          <w:sz w:val="28"/>
          <w:szCs w:val="28"/>
          <w:highlight w:val="none"/>
        </w:rPr>
        <w:t>五、合同价款与支付</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19.合同价款及调整</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19.1 招标工程的合同价款由承包人与分包人依据中标通知书中的中标价格在本合同协议书内约定；非招标工程的合同价款由承包人与分包人依据工程报价书在本合同协议书内约定。</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19.2分包合同价款在本合同协议书内约定后，任何一方不得擅自改变。下列三种确定合同价款的方式，双方可在本合同专用条款内约定采用其中一种（应与总包合同约定的方式一致）：</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（1）固定价格。双方在本合同专用条款内约定合同价款包含的风险范围和风险费用的计算方法，在约定的风险范围内合同价款不再调整。风险范围以外的合同价款调整方法，应当在专用条款内约定。</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（2）可调价格。合同价款可根据双方的约定而调整，双方在本合同专用条款内约定合同价款调整方法。</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（3）成本加酬金。合同价款包括成本和酬金两部分，双方在本合同专用条款内约定成本构成和酬金的计算方法。</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19.3可调价格计价方式中合同价款的调整因素包括：</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（1）法律、行政法规和国家有关政策变化影响合同价款；</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（2）工程造价管理部门公布的价格调整；</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（3）一周内非分包人原因停水、停电、停气造成停工累计超过8小时；</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（4）双方约定的其他因素。</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19.4 分包人应当在19.3款情况发生后10天内，将调整原因、金额以书面形式通知承包人，承包人确认调整金额后作为追加合同价款，与工程价款同期支付。承包人收到通知后10天内不予确认也不提出修改意见，视为已经同意该项调整。</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19.5 分包合同价款与总包合同相应部分价款无任何连带关系。</w:t>
      </w:r>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20.工程量的确认</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20.1分包人应按本合同专用条款约定的时间向承包人提交已完工程量报告，承包人接到报告后7天内自行按设计图纸计量或报经工程师计量。承包人在自行计量或由工程师计量前24小时应通知分包人，分包人为计量提供便利条件并派人参加。分包人收到通知后不参加计量，计量结果有效，作为工程价款支付的依据；承包人不按约定时间通知分包人，致使分包人未能参加计量，计量结果无效。</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20.2 承包人在收到分包人报告后7天内未进行计量或因工程师的原因未计量的，从第8天起，分包人报告中开列的工程量即视为被确认，作为工程价款支付的依据。</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20.3 分包人未按本合同专用条款约定的时间向承包人提交已完工程量报告，或其所提交的报告不符合承包人要求且未做整改的，承包人不予计量。</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20.4 对分包人自行超出设计图纸范围和因分包人原因造成返工的工程量，承包人不予计量。</w:t>
      </w:r>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21.合同价款的支付</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21.1 实行工程预付款的，双方应在本合同专用条款内约定承包人向分包人预付工程款的时间和数额，开工后按约定的时间和比例逐次扣回。</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21.2 在确认计量结果后10天内，承包人应按专用条款约定的时间和方式，向分包人支付工程款（进度款）。按约定时间承包人应扣回的预付款，与工程款（进度款）同期结算。</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21.3分包合同约定的工程变更调整的合同价款、合同价款的调整、索赔的价款或费用以及其他约定的追加合同价款，应与工程进度款同期调整支付。</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21.4 承包人超过约定的支付时间不支付工程款（预付款、进度款），分包人可向承包人发出要求付款的通知。</w:t>
      </w:r>
    </w:p>
    <w:p>
      <w:pPr>
        <w:pStyle w:val="2"/>
        <w:pageBreakBefore w:val="0"/>
        <w:kinsoku/>
        <w:wordWrap/>
        <w:overflowPunct/>
        <w:topLinePunct w:val="0"/>
        <w:bidi w:val="0"/>
        <w:spacing w:before="0" w:after="0" w:line="360" w:lineRule="auto"/>
        <w:ind w:firstLine="566" w:firstLineChars="200"/>
        <w:jc w:val="center"/>
        <w:outlineLvl w:val="1"/>
        <w:rPr>
          <w:rFonts w:hint="eastAsia" w:ascii="仿宋_GB2312" w:hAnsi="仿宋_GB2312" w:eastAsia="仿宋_GB2312" w:cs="仿宋_GB2312"/>
          <w:b/>
          <w:bCs w:val="0"/>
          <w:color w:val="auto"/>
          <w:sz w:val="28"/>
          <w:szCs w:val="28"/>
          <w:highlight w:val="none"/>
        </w:rPr>
      </w:pPr>
      <w:bookmarkStart w:id="632" w:name="_Toc19838"/>
      <w:bookmarkStart w:id="633" w:name="_Toc9055_WPSOffice_Level2"/>
      <w:bookmarkStart w:id="634" w:name="_Toc11922672"/>
      <w:bookmarkStart w:id="635" w:name="_Toc31994"/>
      <w:bookmarkStart w:id="636" w:name="_Toc17248"/>
      <w:bookmarkStart w:id="637" w:name="_Toc31939"/>
      <w:bookmarkStart w:id="638" w:name="_Toc8617"/>
      <w:bookmarkStart w:id="639" w:name="_Toc12062"/>
      <w:bookmarkStart w:id="640" w:name="_Toc12964"/>
      <w:bookmarkStart w:id="641" w:name="_Toc23011"/>
      <w:bookmarkStart w:id="642" w:name="_Toc13326"/>
      <w:bookmarkStart w:id="643" w:name="_Toc24304"/>
      <w:bookmarkStart w:id="644" w:name="_Toc2648"/>
      <w:bookmarkStart w:id="645" w:name="_Toc27837"/>
      <w:bookmarkStart w:id="646" w:name="_Toc447095728"/>
      <w:r>
        <w:rPr>
          <w:rFonts w:hint="eastAsia" w:ascii="仿宋_GB2312" w:hAnsi="仿宋_GB2312" w:eastAsia="仿宋_GB2312" w:cs="仿宋_GB2312"/>
          <w:b/>
          <w:bCs w:val="0"/>
          <w:color w:val="auto"/>
          <w:sz w:val="28"/>
          <w:szCs w:val="28"/>
          <w:highlight w:val="none"/>
        </w:rPr>
        <w:t>六、工程变更</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22.工程变更</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22.1 分包人应根据以下指令，以更改、增补或省略的方式对分包工程进行变更：</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（1）工程师根据总包合同作出的变更指令。该变更指令由工程师作出并经承包人确认后通知分包人；</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（2）除上述（1）项以外的承包人作出的变更指令。</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22.2 分包人不执行从发包人或工程师处直接收到的未经承包人确认的有关分包工程变更的指令。如分包人直接收到此类变更指令，应立即通知项目经理并向项目经理提供一份该直接指令的复印件。项目经理应在24小时内提出关于对该指令的处理意见。</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22.3 分包工程变更价款的确定应按照招标文件管理要求、投标承诺及相应专用条款约定履行。分包人应向承包人提出变更分包工程价款的报告，经承包人确认后调整合同价款。</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22.4 分包人在双方确定变更后11天内不向承包人提出变更分包工程价款的报告，视为该项变更不涉及合同价款的变更。</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22.5 承包人在收到变更分包工程价款报告之日起17天内予以确认，无正当理由逾期未予确认时，视为该报告已被确认。</w:t>
      </w:r>
    </w:p>
    <w:p>
      <w:pPr>
        <w:pStyle w:val="2"/>
        <w:pageBreakBefore w:val="0"/>
        <w:kinsoku/>
        <w:wordWrap/>
        <w:overflowPunct/>
        <w:topLinePunct w:val="0"/>
        <w:bidi w:val="0"/>
        <w:spacing w:before="0" w:after="0" w:line="360" w:lineRule="auto"/>
        <w:ind w:firstLine="566" w:firstLineChars="200"/>
        <w:jc w:val="center"/>
        <w:outlineLvl w:val="1"/>
        <w:rPr>
          <w:rFonts w:hint="eastAsia" w:ascii="仿宋_GB2312" w:hAnsi="仿宋_GB2312" w:eastAsia="仿宋_GB2312" w:cs="仿宋_GB2312"/>
          <w:b/>
          <w:bCs w:val="0"/>
          <w:color w:val="auto"/>
          <w:sz w:val="28"/>
          <w:szCs w:val="28"/>
          <w:highlight w:val="none"/>
        </w:rPr>
      </w:pPr>
      <w:bookmarkStart w:id="647" w:name="_Toc3837"/>
      <w:bookmarkStart w:id="648" w:name="_Toc11102_WPSOffice_Level2"/>
      <w:bookmarkStart w:id="649" w:name="_Toc4566"/>
      <w:bookmarkStart w:id="650" w:name="_Toc32381"/>
      <w:bookmarkStart w:id="651" w:name="_Toc25227"/>
      <w:bookmarkStart w:id="652" w:name="_Toc447095729"/>
      <w:bookmarkStart w:id="653" w:name="_Toc21630"/>
      <w:bookmarkStart w:id="654" w:name="_Toc14482"/>
      <w:bookmarkStart w:id="655" w:name="_Toc2065"/>
      <w:bookmarkStart w:id="656" w:name="_Toc23748"/>
      <w:bookmarkStart w:id="657" w:name="_Toc16602"/>
      <w:bookmarkStart w:id="658" w:name="_Toc11922673"/>
      <w:bookmarkStart w:id="659" w:name="_Toc24362"/>
      <w:bookmarkStart w:id="660" w:name="_Toc1492"/>
      <w:bookmarkStart w:id="661" w:name="_Toc29028"/>
      <w:bookmarkStart w:id="662" w:name="_Toc24544"/>
      <w:r>
        <w:rPr>
          <w:rFonts w:hint="eastAsia" w:ascii="仿宋_GB2312" w:hAnsi="仿宋_GB2312" w:eastAsia="仿宋_GB2312" w:cs="仿宋_GB2312"/>
          <w:b/>
          <w:bCs w:val="0"/>
          <w:color w:val="auto"/>
          <w:sz w:val="28"/>
          <w:szCs w:val="28"/>
          <w:highlight w:val="none"/>
        </w:rPr>
        <w:t>七、竣工验收及结算</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23.竣工验收</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23.1 分包工程具备竣工验收条件的，分包人应向承包人提供完整的竣工资料及竣工验收报告。双方约定由分包人提供竣工图的，应在专用条款内约定提交日期和份数。</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23.2 承包人应在收到分包人提供的竣工验收报告之日起3日内通知发包人进行验收，分包人应配合承包人进行验收。根据总包合同无需由发包人验收的部分，承包人应按照总包合同约定的验收程序自行验收。发包人未能按照总包合同及时组织验收的，承包人应按照总包合同规定的发包人验收的期限及程序自行组织验收，并视为分包工程竣工验收通过。</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23.3分包工程竣工验收未能通过且属于分包人原因的，分包人负责修复相应缺陷并承担相应的质量责任。</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23.4 分包工程竣工日期为分包人提供竣工验收报告之日。需要修复的，为提供修复后竣工报告之日。</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24.竣工结算及移交</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24.1 分包工程竣工验收报告经承包人认可后14天内，分包人向承包人递交分包工程竣工结算报告及完整的结算资料，双方按照本合同协议书约定的合同价款及本合同专用条款约定的合同价款调整内容，进行工程竣工结算。</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24.2 承包人收到分包人递交的分包工程竣工结算报告及结算资料后28天内进行核实，给予确认或者提出明确的修改意见。承包人确认竣工结算报告后7天内向分包人支付分包工程竣工结算价款。分包人收到竣工结算价款之日起7天内，将竣工工程交付承包人。</w:t>
      </w:r>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25.质量保修</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25.1 在包括分包工程的总包工程竣工交付使用后，分包人应按国家有关规定对分包工程出现的缺陷进行保修，具体保修责任按照分包人与承包人在工程竣工验收之前签订的质量保修书执行。</w:t>
      </w:r>
    </w:p>
    <w:p>
      <w:pPr>
        <w:pStyle w:val="2"/>
        <w:pageBreakBefore w:val="0"/>
        <w:kinsoku/>
        <w:wordWrap/>
        <w:overflowPunct/>
        <w:topLinePunct w:val="0"/>
        <w:bidi w:val="0"/>
        <w:spacing w:before="0" w:after="0" w:line="360" w:lineRule="auto"/>
        <w:ind w:firstLine="566" w:firstLineChars="200"/>
        <w:jc w:val="center"/>
        <w:outlineLvl w:val="1"/>
        <w:rPr>
          <w:rFonts w:hint="eastAsia" w:ascii="仿宋_GB2312" w:hAnsi="仿宋_GB2312" w:eastAsia="仿宋_GB2312" w:cs="仿宋_GB2312"/>
          <w:b/>
          <w:bCs w:val="0"/>
          <w:color w:val="auto"/>
          <w:sz w:val="28"/>
          <w:szCs w:val="28"/>
          <w:highlight w:val="none"/>
        </w:rPr>
      </w:pPr>
      <w:bookmarkStart w:id="663" w:name="_Toc18804"/>
      <w:bookmarkStart w:id="664" w:name="_Toc26946"/>
      <w:bookmarkStart w:id="665" w:name="_Toc3078"/>
      <w:bookmarkStart w:id="666" w:name="_Toc11922674"/>
      <w:bookmarkStart w:id="667" w:name="_Toc20188"/>
      <w:bookmarkStart w:id="668" w:name="_Toc21143"/>
      <w:bookmarkStart w:id="669" w:name="_Toc31841"/>
      <w:bookmarkStart w:id="670" w:name="_Toc48_WPSOffice_Level2"/>
      <w:bookmarkStart w:id="671" w:name="_Toc447095730"/>
      <w:bookmarkStart w:id="672" w:name="_Toc26191"/>
      <w:bookmarkStart w:id="673" w:name="_Toc32374"/>
      <w:bookmarkStart w:id="674" w:name="_Toc15135"/>
      <w:bookmarkStart w:id="675" w:name="_Toc4328"/>
      <w:bookmarkStart w:id="676" w:name="_Toc13461"/>
      <w:bookmarkStart w:id="677" w:name="_Toc21173"/>
      <w:bookmarkStart w:id="678" w:name="_Toc28649"/>
      <w:r>
        <w:rPr>
          <w:rFonts w:hint="eastAsia" w:ascii="仿宋_GB2312" w:hAnsi="仿宋_GB2312" w:eastAsia="仿宋_GB2312" w:cs="仿宋_GB2312"/>
          <w:b/>
          <w:bCs w:val="0"/>
          <w:color w:val="auto"/>
          <w:sz w:val="28"/>
          <w:szCs w:val="28"/>
          <w:highlight w:val="none"/>
        </w:rPr>
        <w:t>八、违约、索赔及争议</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26.违约</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26.1当发生下列情况之一时，视为承包人违约：</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（1）承包人不按分包合同的约定支付工程预付款、工程进度款，导致施工无法进行；</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（2）承包人不按分包合同的约定支付工程竣工结算价款；</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（3）承包人不履行分包合同义务或不按分包合同约定履行义务的其他情况。</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承包人承担违约责任，赔偿因其违约给分包人造成的经济损失，顺延延误的工期。双方在本合同专用条款内约定承包人赔偿分包人损失的计算方法或承包人应当支付违约金的数额。</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26.2当发生下列情况之一时，视为分包人违约：</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（1）本合同通用条款第5.3款提到的如分包人与发包人或工程师发生直接工作联系；</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（2）本合同通用条款第12.1款提到的</w:t>
      </w:r>
      <w:r>
        <w:rPr>
          <w:rFonts w:hint="eastAsia" w:ascii="仿宋_GB2312" w:hAnsi="仿宋_GB2312" w:eastAsia="仿宋_GB2312" w:cs="仿宋_GB2312"/>
          <w:bCs/>
          <w:color w:val="auto"/>
          <w:sz w:val="24"/>
          <w:szCs w:val="24"/>
          <w:highlight w:val="none"/>
        </w:rPr>
        <w:t>分包人将其承包的分包工程转包或再分包；</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（3）本合同通用条款第16.2款提到的因分包人原因不能按照本合同协议书约定的竣工日期或承包人同意顺延的工期竣工的；</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（4）本合同通用条款第17.1款提到的因分包人原因工程质量达不到约定的质量标准；</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（5）分包人不履行分包合同义务或不按分包合同约定履行义务的其他情况。</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分包人承担违约责任，赔偿因其违约给承包人造成的经济损失。双方在本合同专用条款内约定分包人赔偿承包人损失的计算方法或分包人应当支付违约金的数额。</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26.3 分包人违反本合同可能产生的后果</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如分包人有违反分包合同的行为，分包人应保障承包人免于承担因此违约造成的工期延误、经济损失及根据总包合同承包人将负责的任何赔偿费，在此情况下，承包人可从本应支付分包人的任何价款中扣除此笔经济损失及赔偿费，并且不排除采用其它补救方法的可能。</w:t>
      </w:r>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27.索赔</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27.1 当一方向另一方提出索赔时，要有正当的索赔理由，且有索赔事件发生时的有效证据。</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27.2 承包人未能按分包合同的约定履行自己的各项义务或发生错误以及应由承包人承担责任的其他情况，造成工期延误和（或）分包人不能及时得到合同价款或分包人的其他经济损失，分包人可按总包合同约定的程序以书面形式向承包人索赔。</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27.3 在分包工程施工过程中，如分包人遇到不利外部条件等根据总包合同可以索赔的情况，分包人可按照总包合同约定的索赔程序通过承包人提出索赔要求。在承包人收到分包人索赔报告后21天内给予分包人明确的答复，或要求进一步补充索赔理由和证据。索赔成功后，承包人应将相应部分转交分包人。</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分包人应按照总包合同的规定及时向承包人提交分包工程的索赔报告，以保证承包人可以及时向发包人进行索赔。承包人在35天内未能对分包人的索赔报告给予答复，视为分包人的索赔报告已经得到批准。</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27.4承包人根据总包合同的约定向工程师递交任何索赔意向通知或其它资料，要求分包人协助时，分包人应就分包工程方面的情况，以书面形式向承包人发出相关通知或其它资料以及保持并出示同期施工记录，以便承包人能遵守总包合同有关索赔的约定。</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分包人未予积极配合，使得承包人涉及到分包工程的索赔未获成功，则承包人可在按分包合同约定应支付给分包人的金额中扣除上述本应获得的索赔款项中适当比例的部分。</w:t>
      </w:r>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28.争议</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28.1承包人分包人在履行合同时发生争议，可以和解或者要求有关部门调解。当事人不愿和解、调解或者和解、调解不成的，双方可以在本合同专用条款内约定以下一种方式解决争议：</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（1）双方达成仲裁协议，向约定的仲裁委员会申请仲裁；</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（2）向有管辖权的人民法院起诉。</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28.2 发生争议后，除非出现下列情况，双方应继续履行合同，保持分包工程施工连续，保护好已完工程：</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（1）单方违约导致合同确已无法履行，双方协议停止施工；</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（2）调解要求停止施工，且为双方接受；</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（3）仲裁机构要求停止施工；</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（4）法院要求停止施工。</w:t>
      </w:r>
    </w:p>
    <w:p>
      <w:pPr>
        <w:pStyle w:val="2"/>
        <w:pageBreakBefore w:val="0"/>
        <w:kinsoku/>
        <w:wordWrap/>
        <w:overflowPunct/>
        <w:topLinePunct w:val="0"/>
        <w:bidi w:val="0"/>
        <w:spacing w:before="0" w:after="0" w:line="360" w:lineRule="auto"/>
        <w:ind w:firstLine="566" w:firstLineChars="200"/>
        <w:jc w:val="center"/>
        <w:outlineLvl w:val="1"/>
        <w:rPr>
          <w:rFonts w:hint="eastAsia" w:ascii="仿宋_GB2312" w:hAnsi="仿宋_GB2312" w:eastAsia="仿宋_GB2312" w:cs="仿宋_GB2312"/>
          <w:b w:val="0"/>
          <w:color w:val="auto"/>
          <w:sz w:val="28"/>
          <w:szCs w:val="28"/>
          <w:highlight w:val="none"/>
        </w:rPr>
      </w:pPr>
      <w:bookmarkStart w:id="679" w:name="_Toc447095731"/>
      <w:bookmarkStart w:id="680" w:name="_Toc15579"/>
      <w:bookmarkStart w:id="681" w:name="_Toc11922675"/>
      <w:bookmarkStart w:id="682" w:name="_Toc29372"/>
      <w:bookmarkStart w:id="683" w:name="_Toc6489"/>
      <w:bookmarkStart w:id="684" w:name="_Toc18596"/>
      <w:bookmarkStart w:id="685" w:name="_Toc8470"/>
      <w:bookmarkStart w:id="686" w:name="_Toc27625"/>
      <w:bookmarkStart w:id="687" w:name="_Toc28770"/>
      <w:bookmarkStart w:id="688" w:name="_Toc29219"/>
      <w:bookmarkStart w:id="689" w:name="_Toc22202_WPSOffice_Level2"/>
      <w:bookmarkStart w:id="690" w:name="_Toc31835"/>
      <w:bookmarkStart w:id="691" w:name="_Toc7855"/>
      <w:bookmarkStart w:id="692" w:name="_Toc18421"/>
      <w:bookmarkStart w:id="693" w:name="_Toc20103"/>
      <w:bookmarkStart w:id="694" w:name="_Toc15773"/>
      <w:r>
        <w:rPr>
          <w:rFonts w:hint="eastAsia" w:ascii="仿宋_GB2312" w:hAnsi="仿宋_GB2312" w:eastAsia="仿宋_GB2312" w:cs="仿宋_GB2312"/>
          <w:b/>
          <w:bCs w:val="0"/>
          <w:color w:val="auto"/>
          <w:sz w:val="28"/>
          <w:szCs w:val="28"/>
          <w:highlight w:val="none"/>
        </w:rPr>
        <w:t>九、保障、保险</w:t>
      </w:r>
      <w:bookmarkEnd w:id="679"/>
      <w:r>
        <w:rPr>
          <w:rFonts w:hint="eastAsia" w:ascii="仿宋_GB2312" w:hAnsi="仿宋_GB2312" w:eastAsia="仿宋_GB2312" w:cs="仿宋_GB2312"/>
          <w:b/>
          <w:bCs w:val="0"/>
          <w:color w:val="auto"/>
          <w:sz w:val="28"/>
          <w:szCs w:val="28"/>
          <w:highlight w:val="none"/>
        </w:rPr>
        <w:t>及担保</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29.保障</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29.1 除应由承包人承担的风险外，分包人应保障承包人免于承受在分包工程施工过程中及修补缺陷引起的下列损失、索赔及与此有关的索赔、诉讼、损害赔偿：</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（1）人员的伤亡；</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（2）分包工程以外的任何财产的损失或损害。</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上列损失应由造成损失的责任方承担。</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29.2 承包人应保障分包人免于承担与下列事宜有关的索赔、诉讼、损害赔偿费、诉讼费、指控费和其它开支：</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（1）按分包合同约定，实施和完成分包合同以及保修过程当中所导致的无法避免的对财产的损害；</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（2）由于发包人、承包人或其它分包商的行为或疏忽造成的人员伤亡或财产损失或损害，或与此相关的索赔、诉讼等。</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上列损失应由造成损失的责任方承担。</w:t>
      </w:r>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30.保险</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30.1 承包人应为运至施工场地内用于分包工程的材料和待安装设备办理保险。发包人已经办理的保险视为承包人办理的保险。</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30.2 分包人必须为从事危险作业的职工办理意外伤害保险，并为施工场地内自有人员生命财产和施工机械设备办理保险，支付保险费用。</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30.3 保险事故发生时，承包人分包人均有责任尽力采取必要的措施，防止或者减少损失。</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30.4 具体投保内容和相关责任，承包人分包人在本合同专用条款内约定。</w:t>
      </w:r>
    </w:p>
    <w:p>
      <w:pPr>
        <w:pageBreakBefore w:val="0"/>
        <w:kinsoku/>
        <w:wordWrap/>
        <w:overflowPunct/>
        <w:topLinePunct w:val="0"/>
        <w:bidi w:val="0"/>
        <w:adjustRightInd w:val="0"/>
        <w:snapToGrid w:val="0"/>
        <w:spacing w:line="360" w:lineRule="auto"/>
        <w:ind w:firstLine="486" w:firstLineChars="200"/>
        <w:outlineLvl w:val="3"/>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31.担保</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31.1如分包合同要求承包人向分包人提供支付担保时，承包人应与分包人协商担保方式和担保额度，在本合同专用条款内约定。</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31.2如分包合同要求分包人向承包人提供履约担保时，分包人应与承包人协商担保方式和担保额度，在本合同专用条款内约定。</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31.3分包人提供的履约担保，不应超过总包合同中承包人向发包人提供的履约担保的额度。</w:t>
      </w:r>
    </w:p>
    <w:p>
      <w:pPr>
        <w:pStyle w:val="5"/>
        <w:pageBreakBefore w:val="0"/>
        <w:kinsoku/>
        <w:wordWrap/>
        <w:overflowPunct/>
        <w:topLinePunct w:val="0"/>
        <w:bidi w:val="0"/>
        <w:spacing w:before="0" w:after="0" w:line="360" w:lineRule="auto"/>
        <w:ind w:firstLine="566" w:firstLineChars="200"/>
        <w:jc w:val="center"/>
        <w:outlineLvl w:val="1"/>
        <w:rPr>
          <w:rFonts w:hint="eastAsia" w:ascii="仿宋_GB2312" w:hAnsi="仿宋_GB2312" w:eastAsia="仿宋_GB2312" w:cs="仿宋_GB2312"/>
          <w:b/>
          <w:bCs w:val="0"/>
          <w:color w:val="auto"/>
          <w:sz w:val="28"/>
          <w:szCs w:val="28"/>
          <w:highlight w:val="none"/>
        </w:rPr>
      </w:pPr>
      <w:bookmarkStart w:id="695" w:name="_Toc11922676"/>
      <w:bookmarkStart w:id="696" w:name="_Toc3761"/>
      <w:bookmarkStart w:id="697" w:name="_Toc24581"/>
      <w:bookmarkStart w:id="698" w:name="_Toc596"/>
      <w:bookmarkStart w:id="699" w:name="_Toc2789"/>
      <w:bookmarkStart w:id="700" w:name="_Toc28499"/>
      <w:bookmarkStart w:id="701" w:name="_Toc447095732"/>
      <w:bookmarkStart w:id="702" w:name="_Toc63"/>
      <w:bookmarkStart w:id="703" w:name="_Toc12530"/>
      <w:bookmarkStart w:id="704" w:name="_Toc8929"/>
      <w:bookmarkStart w:id="705" w:name="_Toc12111"/>
      <w:bookmarkStart w:id="706" w:name="_Toc24148"/>
      <w:bookmarkStart w:id="707" w:name="_Toc11318"/>
      <w:bookmarkStart w:id="708" w:name="_Toc23585"/>
      <w:bookmarkStart w:id="709" w:name="_Toc31230"/>
      <w:bookmarkStart w:id="710" w:name="_Toc16846_WPSOffice_Level2"/>
      <w:r>
        <w:rPr>
          <w:rFonts w:hint="eastAsia" w:ascii="仿宋_GB2312" w:hAnsi="仿宋_GB2312" w:eastAsia="仿宋_GB2312" w:cs="仿宋_GB2312"/>
          <w:b/>
          <w:bCs w:val="0"/>
          <w:color w:val="auto"/>
          <w:sz w:val="28"/>
          <w:szCs w:val="28"/>
          <w:highlight w:val="none"/>
        </w:rPr>
        <w:t>十、其他</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pPr>
        <w:pageBreakBefore w:val="0"/>
        <w:kinsoku/>
        <w:wordWrap/>
        <w:overflowPunct/>
        <w:topLinePunct w:val="0"/>
        <w:bidi w:val="0"/>
        <w:adjustRightInd w:val="0"/>
        <w:snapToGrid w:val="0"/>
        <w:spacing w:line="360" w:lineRule="auto"/>
        <w:ind w:firstLine="486" w:firstLineChars="200"/>
        <w:outlineLvl w:val="3"/>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32.材料设备供应</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32.1有关材料设备供应的数量、程序及责任均按总包合同中发包人与承包人的有关约定及分包工程招标文件中关于甲供料管理规定履行。</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32.2总包合同约定就分包工程部分由发包人供应的材料设备，视为承包人供应的材料设备。</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32.3 除32.2款外的材料设备应由分包人按照本合同专用条款的约定采购，并提供产品合格证明，承包人不得指定生产厂或供应商。</w:t>
      </w:r>
    </w:p>
    <w:p>
      <w:pPr>
        <w:pageBreakBefore w:val="0"/>
        <w:kinsoku/>
        <w:wordWrap/>
        <w:overflowPunct/>
        <w:topLinePunct w:val="0"/>
        <w:bidi w:val="0"/>
        <w:adjustRightInd w:val="0"/>
        <w:snapToGrid w:val="0"/>
        <w:spacing w:line="360" w:lineRule="auto"/>
        <w:ind w:firstLine="486" w:firstLineChars="200"/>
        <w:outlineLvl w:val="3"/>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33.文物</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33.1 承包人根据总包合同，应将涉及分包人施工场地以内需要保护的文物或古树名木通知分包人，分包人在施工中应认真保护，需要采取保护措施时，由承包人承担所需费用。</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33.2 分包人在其施工场地内发现文物，应采取保护措施，并按照总包合同约定的时间和程序报告承包人。</w:t>
      </w:r>
    </w:p>
    <w:p>
      <w:pPr>
        <w:pageBreakBefore w:val="0"/>
        <w:kinsoku/>
        <w:wordWrap/>
        <w:overflowPunct/>
        <w:topLinePunct w:val="0"/>
        <w:bidi w:val="0"/>
        <w:adjustRightInd w:val="0"/>
        <w:snapToGrid w:val="0"/>
        <w:spacing w:line="360" w:lineRule="auto"/>
        <w:ind w:firstLine="486" w:firstLineChars="200"/>
        <w:outlineLvl w:val="3"/>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34.不可抗力</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34.1 不可抗力包括的范围以及事件处理同总包合同相应条款。</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34.2 不可抗力事件发生涉及分包人施工场地的，分包人应立即通知承包人，在力所能及的条件下，迅速采取措施，尽力减少损失。</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34.3 分包人承担自身的人员和财产的损失。</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34.4 因合同一方延迟履行合同后发生不可抗力的，不能免除延迟履行方的相应责任。</w:t>
      </w:r>
    </w:p>
    <w:p>
      <w:pPr>
        <w:pageBreakBefore w:val="0"/>
        <w:kinsoku/>
        <w:wordWrap/>
        <w:overflowPunct/>
        <w:topLinePunct w:val="0"/>
        <w:bidi w:val="0"/>
        <w:adjustRightInd w:val="0"/>
        <w:snapToGrid w:val="0"/>
        <w:spacing w:line="360" w:lineRule="auto"/>
        <w:ind w:firstLine="486" w:firstLineChars="200"/>
        <w:outlineLvl w:val="3"/>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35.分包合同解除</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35.1承包人和分包人协商一致，可以解除分包合同。</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35.2 发生本合同通用条款21.</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款情况，停止施工超过28天，承包人仍不支付工程款（预付款、进度款），分包人有权解除合同。</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35.3 如分包人再分包或转包其承包的工程，承包人有权解除合同。</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35.4有下列情形之一的，承包人分包人可以解除合同：</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（1）因不可抗力导致合同无法履行；</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（2）因一方违约（包括因发包人原因造成工程停建或缓建）导致合同无法履行。</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35.5 分包合同解除程序以及善后处理均按总包合同相应条款履行。</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35.6 分包合同解除后，不影响双方在合同中约定的结算条款的效力。</w:t>
      </w:r>
    </w:p>
    <w:p>
      <w:pPr>
        <w:pageBreakBefore w:val="0"/>
        <w:kinsoku/>
        <w:wordWrap/>
        <w:overflowPunct/>
        <w:topLinePunct w:val="0"/>
        <w:bidi w:val="0"/>
        <w:adjustRightInd w:val="0"/>
        <w:snapToGrid w:val="0"/>
        <w:spacing w:line="360" w:lineRule="auto"/>
        <w:ind w:firstLine="486" w:firstLineChars="200"/>
        <w:outlineLvl w:val="3"/>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36.合同生效与终止</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36.1 承包人分包人在本合同协议书中约定合同生效方式。</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36.2 承包人分包人履行合同全部义务，竣工结算价款支付完毕，分包人向承包人交付竣工的分包工程后，本合同即告终止。</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36.3 分包合同的权利义务终止后，承包人分包人应遵循诚实信用原则，履行通知、协助、保密等义务。</w:t>
      </w:r>
    </w:p>
    <w:p>
      <w:pPr>
        <w:pageBreakBefore w:val="0"/>
        <w:kinsoku/>
        <w:wordWrap/>
        <w:overflowPunct/>
        <w:topLinePunct w:val="0"/>
        <w:bidi w:val="0"/>
        <w:adjustRightInd w:val="0"/>
        <w:snapToGrid w:val="0"/>
        <w:spacing w:line="360" w:lineRule="auto"/>
        <w:ind w:firstLine="486" w:firstLineChars="200"/>
        <w:outlineLvl w:val="3"/>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37.合同份数</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37.1 本合同正本两份，具有同等效力，由承包人分包人分别保存一份。</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37.2 本合同副本份数，由双方根据需要在本合同专用条款内约定。</w:t>
      </w:r>
    </w:p>
    <w:p>
      <w:pPr>
        <w:pageBreakBefore w:val="0"/>
        <w:kinsoku/>
        <w:wordWrap/>
        <w:overflowPunct/>
        <w:topLinePunct w:val="0"/>
        <w:bidi w:val="0"/>
        <w:adjustRightInd w:val="0"/>
        <w:snapToGrid w:val="0"/>
        <w:spacing w:line="360" w:lineRule="auto"/>
        <w:ind w:firstLine="486" w:firstLineChars="200"/>
        <w:outlineLvl w:val="3"/>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38.补充条款</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双方根据有关法律、行政法规规定，结合工程实际，经协商一致后，可对本合同通用条款内容具体化、补充或修改，在本合同专用条款内约定。</w:t>
      </w:r>
    </w:p>
    <w:p>
      <w:pPr>
        <w:pStyle w:val="4"/>
        <w:pageBreakBefore w:val="0"/>
        <w:kinsoku/>
        <w:wordWrap/>
        <w:overflowPunct/>
        <w:topLinePunct w:val="0"/>
        <w:bidi w:val="0"/>
        <w:spacing w:before="0" w:after="0" w:line="360" w:lineRule="auto"/>
        <w:jc w:val="center"/>
        <w:outlineLvl w:val="1"/>
        <w:rPr>
          <w:rFonts w:hint="eastAsia" w:ascii="仿宋_GB2312" w:hAnsi="仿宋_GB2312" w:eastAsia="仿宋_GB2312" w:cs="仿宋_GB2312"/>
          <w:b w:val="0"/>
          <w:color w:val="auto"/>
          <w:kern w:val="44"/>
          <w:highlight w:val="none"/>
        </w:rPr>
      </w:pPr>
      <w:r>
        <w:rPr>
          <w:rFonts w:hint="eastAsia" w:ascii="仿宋_GB2312" w:hAnsi="仿宋_GB2312" w:eastAsia="仿宋_GB2312" w:cs="仿宋_GB2312"/>
          <w:color w:val="auto"/>
          <w:highlight w:val="none"/>
        </w:rPr>
        <w:br w:type="page"/>
      </w:r>
      <w:bookmarkStart w:id="711" w:name="_Toc16996"/>
      <w:bookmarkStart w:id="712" w:name="_Toc31050"/>
      <w:bookmarkStart w:id="713" w:name="_Toc18092"/>
      <w:bookmarkStart w:id="714" w:name="_Toc15714"/>
      <w:bookmarkStart w:id="715" w:name="_Toc6664"/>
      <w:bookmarkStart w:id="716" w:name="_Toc20726"/>
      <w:bookmarkStart w:id="717" w:name="_Toc19146"/>
      <w:bookmarkStart w:id="718" w:name="_Toc3756"/>
      <w:bookmarkStart w:id="719" w:name="_Toc8228"/>
      <w:bookmarkStart w:id="720" w:name="_Toc2777"/>
      <w:bookmarkStart w:id="721" w:name="_Toc26764"/>
      <w:bookmarkStart w:id="722" w:name="_Toc10650"/>
      <w:r>
        <w:rPr>
          <w:rFonts w:hint="eastAsia" w:ascii="仿宋_GB2312" w:hAnsi="仿宋_GB2312" w:eastAsia="仿宋_GB2312" w:cs="仿宋_GB2312"/>
          <w:b w:val="0"/>
          <w:color w:val="auto"/>
          <w:kern w:val="44"/>
          <w:highlight w:val="none"/>
        </w:rPr>
        <w:t>第三部分 专用条款</w:t>
      </w:r>
      <w:bookmarkEnd w:id="406"/>
      <w:bookmarkEnd w:id="407"/>
      <w:bookmarkEnd w:id="408"/>
      <w:bookmarkEnd w:id="409"/>
      <w:bookmarkEnd w:id="410"/>
      <w:bookmarkEnd w:id="711"/>
      <w:bookmarkEnd w:id="712"/>
      <w:bookmarkEnd w:id="713"/>
      <w:bookmarkEnd w:id="714"/>
      <w:bookmarkEnd w:id="715"/>
      <w:bookmarkEnd w:id="716"/>
      <w:bookmarkEnd w:id="717"/>
      <w:bookmarkEnd w:id="718"/>
      <w:bookmarkEnd w:id="719"/>
      <w:bookmarkEnd w:id="720"/>
      <w:bookmarkEnd w:id="721"/>
      <w:bookmarkEnd w:id="722"/>
    </w:p>
    <w:p>
      <w:pPr>
        <w:pageBreakBefore w:val="0"/>
        <w:kinsoku/>
        <w:wordWrap/>
        <w:overflowPunct/>
        <w:topLinePunct w:val="0"/>
        <w:bidi w:val="0"/>
        <w:spacing w:line="360" w:lineRule="auto"/>
        <w:rPr>
          <w:rFonts w:hint="eastAsia" w:ascii="仿宋_GB2312" w:hAnsi="仿宋_GB2312" w:eastAsia="仿宋_GB2312" w:cs="仿宋_GB2312"/>
          <w:color w:val="auto"/>
          <w:highlight w:val="none"/>
        </w:rPr>
      </w:pPr>
    </w:p>
    <w:p>
      <w:pPr>
        <w:pStyle w:val="5"/>
        <w:pageBreakBefore w:val="0"/>
        <w:kinsoku/>
        <w:wordWrap/>
        <w:overflowPunct/>
        <w:topLinePunct w:val="0"/>
        <w:bidi w:val="0"/>
        <w:spacing w:before="0" w:after="0" w:line="360" w:lineRule="auto"/>
        <w:ind w:firstLine="566" w:firstLineChars="200"/>
        <w:jc w:val="center"/>
        <w:rPr>
          <w:rFonts w:hint="eastAsia" w:ascii="黑体" w:hAnsi="黑体" w:eastAsia="黑体" w:cs="黑体"/>
          <w:b w:val="0"/>
          <w:color w:val="auto"/>
          <w:sz w:val="28"/>
          <w:szCs w:val="28"/>
          <w:highlight w:val="none"/>
        </w:rPr>
      </w:pPr>
      <w:bookmarkStart w:id="723" w:name="_Toc23322"/>
      <w:bookmarkStart w:id="724" w:name="_Toc1669"/>
      <w:bookmarkStart w:id="725" w:name="_Toc11922678"/>
      <w:bookmarkStart w:id="726" w:name="_Toc1036"/>
      <w:bookmarkStart w:id="727" w:name="_Toc26676"/>
      <w:bookmarkStart w:id="728" w:name="_Toc20786"/>
      <w:bookmarkStart w:id="729" w:name="_Toc27474"/>
      <w:bookmarkStart w:id="730" w:name="_Toc17933"/>
      <w:bookmarkStart w:id="731" w:name="_Toc31793"/>
      <w:bookmarkStart w:id="732" w:name="_Toc28838"/>
      <w:bookmarkStart w:id="733" w:name="_Toc5860"/>
      <w:bookmarkStart w:id="734" w:name="_Toc15269"/>
      <w:bookmarkStart w:id="735" w:name="_Toc25706"/>
      <w:bookmarkStart w:id="736" w:name="_Toc11118_WPSOffice_Level2"/>
      <w:bookmarkStart w:id="737" w:name="_Toc32510"/>
      <w:bookmarkStart w:id="738" w:name="_Toc29483"/>
      <w:bookmarkStart w:id="739" w:name="_Toc18725_WPSOffice_Level2"/>
      <w:bookmarkStart w:id="740" w:name="_Toc25073"/>
      <w:bookmarkStart w:id="741" w:name="_Toc13614"/>
      <w:bookmarkStart w:id="742" w:name="_Toc31849"/>
      <w:bookmarkStart w:id="743" w:name="_Toc13604"/>
      <w:bookmarkStart w:id="744" w:name="_Toc30773"/>
      <w:bookmarkStart w:id="745" w:name="_Toc29986"/>
      <w:bookmarkStart w:id="746" w:name="_Toc11922682"/>
      <w:bookmarkStart w:id="747" w:name="_Toc29513"/>
      <w:bookmarkStart w:id="748" w:name="_Toc2730"/>
      <w:bookmarkStart w:id="749" w:name="_Toc1788"/>
      <w:r>
        <w:rPr>
          <w:rFonts w:hint="eastAsia" w:ascii="黑体" w:hAnsi="黑体" w:eastAsia="黑体" w:cs="黑体"/>
          <w:b w:val="0"/>
          <w:color w:val="auto"/>
          <w:sz w:val="28"/>
          <w:szCs w:val="28"/>
          <w:highlight w:val="none"/>
        </w:rPr>
        <w:t>一、词语定义及合同文件</w:t>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p>
      <w:pPr>
        <w:pageBreakBefore w:val="0"/>
        <w:kinsoku/>
        <w:wordWrap/>
        <w:overflowPunct/>
        <w:topLinePunct w:val="0"/>
        <w:bidi w:val="0"/>
        <w:spacing w:line="360" w:lineRule="auto"/>
        <w:ind w:firstLine="486" w:firstLineChars="200"/>
        <w:outlineLvl w:val="3"/>
        <w:rPr>
          <w:rFonts w:hint="eastAsia" w:ascii="仿宋_GB2312" w:hAnsi="仿宋" w:eastAsia="仿宋_GB2312"/>
          <w:b/>
          <w:color w:val="auto"/>
          <w:kern w:val="0"/>
          <w:sz w:val="24"/>
          <w:szCs w:val="24"/>
          <w:highlight w:val="none"/>
        </w:rPr>
      </w:pPr>
      <w:bookmarkStart w:id="750" w:name="_Toc11922679"/>
      <w:bookmarkStart w:id="751" w:name="_Toc11922772"/>
      <w:r>
        <w:rPr>
          <w:rFonts w:hint="eastAsia" w:ascii="仿宋_GB2312" w:hAnsi="仿宋" w:eastAsia="仿宋_GB2312"/>
          <w:b/>
          <w:color w:val="auto"/>
          <w:kern w:val="0"/>
          <w:sz w:val="24"/>
          <w:szCs w:val="24"/>
          <w:highlight w:val="none"/>
        </w:rPr>
        <w:t>2．合同文件及解释顺序</w:t>
      </w:r>
      <w:bookmarkEnd w:id="750"/>
      <w:bookmarkEnd w:id="751"/>
    </w:p>
    <w:p>
      <w:pPr>
        <w:pageBreakBefore w:val="0"/>
        <w:kinsoku/>
        <w:wordWrap/>
        <w:overflowPunct/>
        <w:topLinePunct w:val="0"/>
        <w:bidi w:val="0"/>
        <w:spacing w:line="360" w:lineRule="auto"/>
        <w:ind w:firstLine="486" w:firstLineChars="200"/>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合同文件及解释顺序：</w:t>
      </w:r>
      <w:r>
        <w:rPr>
          <w:rFonts w:hint="eastAsia" w:ascii="仿宋_GB2312" w:hAnsi="仿宋" w:eastAsia="仿宋_GB2312"/>
          <w:color w:val="auto"/>
          <w:sz w:val="24"/>
          <w:szCs w:val="24"/>
          <w:highlight w:val="none"/>
          <w:u w:val="single"/>
        </w:rPr>
        <w:tab/>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u w:val="single"/>
          <w:lang w:val="en-US" w:eastAsia="zh-CN"/>
        </w:rPr>
        <w:t>按本合同第一部分 协议书的相关要求执行</w:t>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rPr>
        <w:t>。</w:t>
      </w:r>
    </w:p>
    <w:p>
      <w:pPr>
        <w:pageBreakBefore w:val="0"/>
        <w:kinsoku/>
        <w:wordWrap/>
        <w:overflowPunct/>
        <w:topLinePunct w:val="0"/>
        <w:bidi w:val="0"/>
        <w:spacing w:line="360" w:lineRule="auto"/>
        <w:ind w:firstLine="486" w:firstLineChars="200"/>
        <w:outlineLvl w:val="3"/>
        <w:rPr>
          <w:rFonts w:hint="eastAsia" w:ascii="仿宋_GB2312" w:hAnsi="仿宋" w:eastAsia="仿宋_GB2312"/>
          <w:b/>
          <w:color w:val="auto"/>
          <w:kern w:val="0"/>
          <w:sz w:val="24"/>
          <w:szCs w:val="24"/>
          <w:highlight w:val="none"/>
        </w:rPr>
      </w:pPr>
      <w:bookmarkStart w:id="752" w:name="_Toc11922680"/>
      <w:bookmarkStart w:id="753" w:name="_Toc11922773"/>
      <w:r>
        <w:rPr>
          <w:rFonts w:hint="eastAsia" w:ascii="仿宋_GB2312" w:hAnsi="仿宋" w:eastAsia="仿宋_GB2312"/>
          <w:b/>
          <w:color w:val="auto"/>
          <w:kern w:val="0"/>
          <w:sz w:val="24"/>
          <w:szCs w:val="24"/>
          <w:highlight w:val="none"/>
        </w:rPr>
        <w:t>3．语言文字和适用法律、行政法规及工程建设标准</w:t>
      </w:r>
      <w:bookmarkEnd w:id="752"/>
      <w:bookmarkEnd w:id="753"/>
    </w:p>
    <w:p>
      <w:pPr>
        <w:pageBreakBefore w:val="0"/>
        <w:kinsoku/>
        <w:wordWrap/>
        <w:overflowPunct/>
        <w:topLinePunct w:val="0"/>
        <w:bidi w:val="0"/>
        <w:spacing w:line="360" w:lineRule="auto"/>
        <w:ind w:firstLine="486" w:firstLineChars="200"/>
        <w:rPr>
          <w:rFonts w:ascii="仿宋_GB2312" w:hAnsi="仿宋" w:eastAsia="仿宋_GB2312"/>
          <w:color w:val="auto"/>
          <w:sz w:val="24"/>
          <w:szCs w:val="24"/>
          <w:highlight w:val="none"/>
        </w:rPr>
      </w:pPr>
      <w:r>
        <w:rPr>
          <w:rFonts w:ascii="仿宋_GB2312" w:hAnsi="仿宋" w:eastAsia="仿宋_GB2312"/>
          <w:color w:val="auto"/>
          <w:sz w:val="24"/>
          <w:szCs w:val="24"/>
          <w:highlight w:val="none"/>
        </w:rPr>
        <w:t xml:space="preserve">3.1 </w:t>
      </w:r>
      <w:r>
        <w:rPr>
          <w:rFonts w:hint="eastAsia" w:ascii="仿宋_GB2312" w:hAnsi="仿宋" w:eastAsia="仿宋_GB2312"/>
          <w:color w:val="auto"/>
          <w:sz w:val="24"/>
          <w:szCs w:val="24"/>
          <w:highlight w:val="none"/>
        </w:rPr>
        <w:t>除总包合同文件规定的语言文字外，本合同还使用</w:t>
      </w:r>
      <w:r>
        <w:rPr>
          <w:rFonts w:ascii="仿宋_GB2312" w:hAnsi="仿宋" w:eastAsia="仿宋_GB2312"/>
          <w:color w:val="auto"/>
          <w:sz w:val="24"/>
          <w:szCs w:val="24"/>
          <w:highlight w:val="none"/>
          <w:u w:val="single"/>
        </w:rPr>
        <w:tab/>
      </w:r>
      <w:r>
        <w:rPr>
          <w:rFonts w:hint="eastAsia" w:ascii="仿宋_GB2312" w:hAnsi="仿宋" w:eastAsia="仿宋_GB2312"/>
          <w:color w:val="auto"/>
          <w:sz w:val="24"/>
          <w:szCs w:val="24"/>
          <w:highlight w:val="none"/>
          <w:u w:val="single"/>
          <w:lang w:val="en-US" w:eastAsia="zh-CN"/>
        </w:rPr>
        <w:t xml:space="preserve">汉 </w:t>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rPr>
        <w:t xml:space="preserve">语言文字。           </w:t>
      </w:r>
    </w:p>
    <w:p>
      <w:pPr>
        <w:pageBreakBefore w:val="0"/>
        <w:kinsoku/>
        <w:wordWrap/>
        <w:overflowPunct/>
        <w:topLinePunct w:val="0"/>
        <w:bidi w:val="0"/>
        <w:spacing w:line="360" w:lineRule="auto"/>
        <w:ind w:firstLine="486" w:firstLineChars="200"/>
        <w:rPr>
          <w:rFonts w:ascii="仿宋_GB2312" w:hAnsi="仿宋" w:eastAsia="仿宋_GB2312"/>
          <w:color w:val="auto"/>
          <w:sz w:val="24"/>
          <w:szCs w:val="24"/>
          <w:highlight w:val="none"/>
        </w:rPr>
      </w:pPr>
      <w:bookmarkStart w:id="754" w:name="_Toc4685"/>
      <w:bookmarkStart w:id="755" w:name="_Toc1015"/>
      <w:r>
        <w:rPr>
          <w:rFonts w:ascii="仿宋_GB2312" w:hAnsi="仿宋" w:eastAsia="仿宋_GB2312"/>
          <w:color w:val="auto"/>
          <w:sz w:val="24"/>
          <w:szCs w:val="24"/>
          <w:highlight w:val="none"/>
        </w:rPr>
        <w:t xml:space="preserve">3.2 </w:t>
      </w:r>
      <w:r>
        <w:rPr>
          <w:rFonts w:hint="eastAsia" w:ascii="仿宋_GB2312" w:hAnsi="仿宋" w:eastAsia="仿宋_GB2312"/>
          <w:color w:val="auto"/>
          <w:sz w:val="24"/>
          <w:szCs w:val="24"/>
          <w:highlight w:val="none"/>
        </w:rPr>
        <w:t>本合同需要明示的法律、行政法规和规章：</w:t>
      </w:r>
      <w:r>
        <w:rPr>
          <w:rFonts w:hint="eastAsia" w:ascii="仿宋_GB2312" w:hAnsi="仿宋" w:eastAsia="仿宋_GB2312"/>
          <w:color w:val="auto"/>
          <w:sz w:val="24"/>
          <w:szCs w:val="24"/>
          <w:highlight w:val="none"/>
          <w:u w:val="single"/>
        </w:rPr>
        <w:t xml:space="preserve">    《中华人民共和国民法典》（2021年1月1日颁布实施及民法典相关司法解释）、《中华人民共和国建筑法》（2011年修正）、《建设工程勘察设计管理条例》（2017年修订）等法律法规规定。     </w:t>
      </w:r>
      <w:r>
        <w:rPr>
          <w:rFonts w:hint="eastAsia" w:ascii="仿宋_GB2312" w:hAnsi="仿宋" w:eastAsia="仿宋_GB2312"/>
          <w:color w:val="auto"/>
          <w:sz w:val="24"/>
          <w:szCs w:val="24"/>
          <w:highlight w:val="none"/>
        </w:rPr>
        <w:t xml:space="preserve">               </w:t>
      </w:r>
    </w:p>
    <w:p>
      <w:pPr>
        <w:pageBreakBefore w:val="0"/>
        <w:kinsoku/>
        <w:wordWrap/>
        <w:overflowPunct/>
        <w:topLinePunct w:val="0"/>
        <w:bidi w:val="0"/>
        <w:spacing w:line="360" w:lineRule="auto"/>
        <w:ind w:firstLine="486" w:firstLineChars="200"/>
        <w:rPr>
          <w:rFonts w:ascii="仿宋_GB2312" w:hAnsi="仿宋" w:eastAsia="仿宋_GB2312"/>
          <w:color w:val="auto"/>
          <w:sz w:val="24"/>
          <w:szCs w:val="24"/>
          <w:highlight w:val="none"/>
        </w:rPr>
      </w:pPr>
      <w:r>
        <w:rPr>
          <w:rFonts w:ascii="仿宋_GB2312" w:hAnsi="仿宋" w:eastAsia="仿宋_GB2312"/>
          <w:color w:val="auto"/>
          <w:sz w:val="24"/>
          <w:szCs w:val="24"/>
          <w:highlight w:val="none"/>
        </w:rPr>
        <w:t xml:space="preserve">3.3 </w:t>
      </w:r>
      <w:r>
        <w:rPr>
          <w:rFonts w:hint="eastAsia" w:ascii="仿宋_GB2312" w:hAnsi="仿宋" w:eastAsia="仿宋_GB2312"/>
          <w:color w:val="auto"/>
          <w:sz w:val="24"/>
          <w:szCs w:val="24"/>
          <w:highlight w:val="none"/>
        </w:rPr>
        <w:t>本分包工程适用的工程建设标准：</w:t>
      </w:r>
      <w:r>
        <w:rPr>
          <w:rFonts w:hint="eastAsia" w:ascii="仿宋_GB2312" w:hAnsi="仿宋" w:eastAsia="仿宋_GB2312"/>
          <w:color w:val="auto"/>
          <w:sz w:val="24"/>
          <w:szCs w:val="24"/>
          <w:highlight w:val="none"/>
          <w:u w:val="single"/>
        </w:rPr>
        <w:t xml:space="preserve"> 按总（分）包合同有关质量的约定、国家现行的《建筑安装工程施工及验收规范》和《建筑安装工程质量评定标准》，本工作必须达到质量评定（合格）等级</w:t>
      </w:r>
      <w:r>
        <w:rPr>
          <w:rFonts w:hint="eastAsia" w:ascii="仿宋_GB2312" w:hAnsi="仿宋" w:eastAsia="仿宋_GB2312"/>
          <w:color w:val="auto"/>
          <w:sz w:val="24"/>
          <w:szCs w:val="24"/>
          <w:highlight w:val="none"/>
          <w:u w:val="single"/>
        </w:rPr>
        <w:tab/>
      </w:r>
      <w:r>
        <w:rPr>
          <w:rFonts w:hint="eastAsia" w:ascii="仿宋_GB2312" w:hAnsi="仿宋" w:eastAsia="仿宋_GB2312"/>
          <w:color w:val="auto"/>
          <w:sz w:val="24"/>
          <w:szCs w:val="24"/>
          <w:highlight w:val="none"/>
        </w:rPr>
        <w:t>，除以上工程建设标准以外，总包合同中约定的与分包工程相关的工程建设标准均适用于本分包工程。</w:t>
      </w:r>
    </w:p>
    <w:p>
      <w:pPr>
        <w:pageBreakBefore w:val="0"/>
        <w:kinsoku/>
        <w:wordWrap/>
        <w:overflowPunct/>
        <w:topLinePunct w:val="0"/>
        <w:bidi w:val="0"/>
        <w:spacing w:line="360" w:lineRule="auto"/>
        <w:ind w:firstLine="486" w:firstLineChars="200"/>
        <w:outlineLvl w:val="3"/>
        <w:rPr>
          <w:rFonts w:hint="eastAsia" w:ascii="仿宋_GB2312" w:hAnsi="仿宋" w:eastAsia="仿宋_GB2312"/>
          <w:b/>
          <w:color w:val="auto"/>
          <w:kern w:val="0"/>
          <w:sz w:val="24"/>
          <w:szCs w:val="24"/>
          <w:highlight w:val="none"/>
        </w:rPr>
      </w:pPr>
      <w:bookmarkStart w:id="756" w:name="_Toc11922774"/>
      <w:bookmarkStart w:id="757" w:name="_Toc11922681"/>
      <w:r>
        <w:rPr>
          <w:rFonts w:hint="eastAsia" w:ascii="仿宋_GB2312" w:hAnsi="仿宋" w:eastAsia="仿宋_GB2312"/>
          <w:b/>
          <w:color w:val="auto"/>
          <w:kern w:val="0"/>
          <w:sz w:val="24"/>
          <w:szCs w:val="24"/>
          <w:highlight w:val="none"/>
        </w:rPr>
        <w:t>4．图纸</w:t>
      </w:r>
      <w:bookmarkEnd w:id="756"/>
      <w:bookmarkEnd w:id="757"/>
    </w:p>
    <w:p>
      <w:pPr>
        <w:pageBreakBefore w:val="0"/>
        <w:kinsoku/>
        <w:wordWrap/>
        <w:overflowPunct/>
        <w:topLinePunct w:val="0"/>
        <w:bidi w:val="0"/>
        <w:spacing w:line="360" w:lineRule="auto"/>
        <w:ind w:firstLine="486" w:firstLineChars="200"/>
        <w:rPr>
          <w:rFonts w:ascii="仿宋_GB2312" w:hAnsi="仿宋" w:eastAsia="仿宋_GB2312"/>
          <w:color w:val="auto"/>
          <w:sz w:val="24"/>
          <w:szCs w:val="24"/>
          <w:highlight w:val="none"/>
        </w:rPr>
      </w:pPr>
      <w:r>
        <w:rPr>
          <w:rFonts w:ascii="仿宋_GB2312" w:hAnsi="仿宋" w:eastAsia="仿宋_GB2312"/>
          <w:color w:val="auto"/>
          <w:sz w:val="24"/>
          <w:szCs w:val="24"/>
          <w:highlight w:val="none"/>
        </w:rPr>
        <w:t xml:space="preserve">4.1 </w:t>
      </w:r>
      <w:r>
        <w:rPr>
          <w:rFonts w:hint="eastAsia" w:ascii="仿宋_GB2312" w:hAnsi="仿宋" w:eastAsia="仿宋_GB2312"/>
          <w:color w:val="auto"/>
          <w:sz w:val="24"/>
          <w:szCs w:val="24"/>
          <w:highlight w:val="none"/>
        </w:rPr>
        <w:t>承包人向分包人提供图纸的套数</w:t>
      </w:r>
      <w:r>
        <w:rPr>
          <w:rFonts w:ascii="仿宋_GB2312" w:hAnsi="仿宋" w:eastAsia="仿宋_GB2312"/>
          <w:color w:val="auto"/>
          <w:sz w:val="24"/>
          <w:szCs w:val="24"/>
          <w:highlight w:val="none"/>
          <w:u w:val="single"/>
        </w:rPr>
        <w:tab/>
      </w:r>
      <w:r>
        <w:rPr>
          <w:rFonts w:ascii="仿宋_GB2312" w:hAnsi="仿宋" w:eastAsia="仿宋_GB2312"/>
          <w:color w:val="auto"/>
          <w:sz w:val="24"/>
          <w:szCs w:val="24"/>
          <w:highlight w:val="none"/>
          <w:u w:val="single"/>
        </w:rPr>
        <w:tab/>
      </w:r>
      <w:r>
        <w:rPr>
          <w:rFonts w:hint="eastAsia" w:ascii="仿宋_GB2312" w:hAnsi="仿宋" w:eastAsia="仿宋_GB2312"/>
          <w:color w:val="auto"/>
          <w:sz w:val="24"/>
          <w:szCs w:val="24"/>
          <w:highlight w:val="none"/>
          <w:u w:val="single"/>
          <w:lang w:val="en-US" w:eastAsia="zh-CN"/>
        </w:rPr>
        <w:t>1</w:t>
      </w:r>
      <w:r>
        <w:rPr>
          <w:rFonts w:ascii="仿宋_GB2312" w:hAnsi="仿宋" w:eastAsia="仿宋_GB2312"/>
          <w:color w:val="auto"/>
          <w:sz w:val="24"/>
          <w:szCs w:val="24"/>
          <w:highlight w:val="none"/>
          <w:u w:val="single"/>
        </w:rPr>
        <w:tab/>
      </w:r>
      <w:r>
        <w:rPr>
          <w:rFonts w:hint="eastAsia" w:ascii="仿宋_GB2312" w:hAnsi="仿宋" w:eastAsia="仿宋_GB2312"/>
          <w:color w:val="auto"/>
          <w:sz w:val="24"/>
          <w:szCs w:val="24"/>
          <w:highlight w:val="none"/>
        </w:rPr>
        <w:t>套。</w:t>
      </w:r>
    </w:p>
    <w:p>
      <w:pPr>
        <w:pageBreakBefore w:val="0"/>
        <w:kinsoku/>
        <w:wordWrap/>
        <w:overflowPunct/>
        <w:topLinePunct w:val="0"/>
        <w:bidi w:val="0"/>
        <w:spacing w:line="360" w:lineRule="auto"/>
        <w:ind w:firstLine="486" w:firstLineChars="200"/>
        <w:rPr>
          <w:rFonts w:ascii="仿宋_GB2312" w:hAnsi="仿宋" w:eastAsia="仿宋_GB2312"/>
          <w:color w:val="auto"/>
          <w:sz w:val="24"/>
          <w:szCs w:val="24"/>
          <w:highlight w:val="none"/>
          <w:u w:val="single"/>
        </w:rPr>
      </w:pPr>
      <w:r>
        <w:rPr>
          <w:rFonts w:ascii="仿宋_GB2312" w:hAnsi="仿宋" w:eastAsia="仿宋_GB2312"/>
          <w:color w:val="auto"/>
          <w:sz w:val="24"/>
          <w:szCs w:val="24"/>
          <w:highlight w:val="none"/>
        </w:rPr>
        <w:t xml:space="preserve">4.2 </w:t>
      </w:r>
      <w:r>
        <w:rPr>
          <w:rFonts w:hint="eastAsia" w:ascii="仿宋_GB2312" w:hAnsi="仿宋" w:eastAsia="仿宋_GB2312"/>
          <w:color w:val="auto"/>
          <w:sz w:val="24"/>
          <w:szCs w:val="24"/>
          <w:highlight w:val="none"/>
        </w:rPr>
        <w:t>承包人委托分包人进行深化施工图设计的委托范围及费用承担：</w:t>
      </w:r>
      <w:r>
        <w:rPr>
          <w:rFonts w:ascii="仿宋_GB2312" w:hAnsi="仿宋" w:eastAsia="仿宋_GB2312"/>
          <w:color w:val="auto"/>
          <w:sz w:val="24"/>
          <w:szCs w:val="24"/>
          <w:highlight w:val="none"/>
          <w:u w:val="single"/>
        </w:rPr>
        <w:tab/>
      </w:r>
      <w:r>
        <w:rPr>
          <w:rFonts w:ascii="仿宋_GB2312" w:hAnsi="仿宋" w:eastAsia="仿宋_GB2312"/>
          <w:color w:val="auto"/>
          <w:sz w:val="24"/>
          <w:szCs w:val="24"/>
          <w:highlight w:val="none"/>
          <w:u w:val="single"/>
        </w:rPr>
        <w:tab/>
      </w:r>
      <w:r>
        <w:rPr>
          <w:rFonts w:hint="eastAsia" w:ascii="仿宋_GB2312" w:hAnsi="仿宋" w:eastAsia="仿宋_GB2312"/>
          <w:color w:val="auto"/>
          <w:sz w:val="24"/>
          <w:szCs w:val="24"/>
          <w:highlight w:val="none"/>
          <w:u w:val="single"/>
          <w:lang w:val="en-US" w:eastAsia="zh-CN"/>
        </w:rPr>
        <w:t>/</w:t>
      </w:r>
      <w:r>
        <w:rPr>
          <w:rFonts w:ascii="仿宋_GB2312" w:hAnsi="仿宋" w:eastAsia="仿宋_GB2312"/>
          <w:color w:val="auto"/>
          <w:sz w:val="24"/>
          <w:szCs w:val="24"/>
          <w:highlight w:val="none"/>
          <w:u w:val="single"/>
        </w:rPr>
        <w:tab/>
      </w:r>
    </w:p>
    <w:p>
      <w:pPr>
        <w:pageBreakBefore w:val="0"/>
        <w:kinsoku/>
        <w:wordWrap/>
        <w:overflowPunct/>
        <w:topLinePunct w:val="0"/>
        <w:bidi w:val="0"/>
        <w:spacing w:line="360" w:lineRule="auto"/>
        <w:ind w:firstLine="486" w:firstLineChars="200"/>
        <w:rPr>
          <w:rFonts w:ascii="仿宋_GB2312" w:hAnsi="仿宋" w:eastAsia="仿宋_GB2312"/>
          <w:color w:val="auto"/>
          <w:sz w:val="24"/>
          <w:szCs w:val="24"/>
          <w:highlight w:val="none"/>
          <w:u w:val="single"/>
        </w:rPr>
      </w:pPr>
      <w:r>
        <w:rPr>
          <w:rFonts w:ascii="仿宋_GB2312" w:hAnsi="仿宋" w:eastAsia="仿宋_GB2312"/>
          <w:color w:val="auto"/>
          <w:sz w:val="24"/>
          <w:szCs w:val="24"/>
          <w:highlight w:val="none"/>
        </w:rPr>
        <w:t xml:space="preserve">4.3 </w:t>
      </w:r>
      <w:r>
        <w:rPr>
          <w:rFonts w:hint="eastAsia" w:ascii="仿宋_GB2312" w:hAnsi="仿宋" w:eastAsia="仿宋_GB2312"/>
          <w:color w:val="auto"/>
          <w:sz w:val="24"/>
          <w:szCs w:val="24"/>
          <w:highlight w:val="none"/>
        </w:rPr>
        <w:t>复制、重新绘制、翻译、购买标准图纸的责任和费用承担由：</w:t>
      </w:r>
      <w:r>
        <w:rPr>
          <w:rFonts w:ascii="仿宋_GB2312" w:hAnsi="仿宋" w:eastAsia="仿宋_GB2312"/>
          <w:color w:val="auto"/>
          <w:sz w:val="24"/>
          <w:szCs w:val="24"/>
          <w:highlight w:val="none"/>
          <w:u w:val="single"/>
        </w:rPr>
        <w:tab/>
      </w:r>
      <w:r>
        <w:rPr>
          <w:rFonts w:ascii="仿宋_GB2312" w:hAnsi="仿宋" w:eastAsia="仿宋_GB2312"/>
          <w:color w:val="auto"/>
          <w:sz w:val="24"/>
          <w:szCs w:val="24"/>
          <w:highlight w:val="none"/>
          <w:u w:val="single"/>
        </w:rPr>
        <w:tab/>
      </w:r>
      <w:r>
        <w:rPr>
          <w:rFonts w:hint="eastAsia" w:ascii="仿宋_GB2312" w:hAnsi="仿宋" w:eastAsia="仿宋_GB2312"/>
          <w:color w:val="auto"/>
          <w:sz w:val="24"/>
          <w:szCs w:val="24"/>
          <w:highlight w:val="none"/>
          <w:u w:val="single"/>
          <w:lang w:val="en-US" w:eastAsia="zh-CN"/>
        </w:rPr>
        <w:t>/</w:t>
      </w:r>
      <w:r>
        <w:rPr>
          <w:rFonts w:ascii="仿宋_GB2312" w:hAnsi="仿宋" w:eastAsia="仿宋_GB2312"/>
          <w:color w:val="auto"/>
          <w:sz w:val="24"/>
          <w:szCs w:val="24"/>
          <w:highlight w:val="none"/>
          <w:u w:val="single"/>
        </w:rPr>
        <w:tab/>
      </w:r>
      <w:r>
        <w:rPr>
          <w:rFonts w:ascii="仿宋_GB2312" w:hAnsi="仿宋" w:eastAsia="仿宋_GB2312"/>
          <w:color w:val="auto"/>
          <w:sz w:val="24"/>
          <w:szCs w:val="24"/>
          <w:highlight w:val="none"/>
          <w:u w:val="single"/>
        </w:rPr>
        <w:tab/>
      </w:r>
    </w:p>
    <w:p>
      <w:pPr>
        <w:pageBreakBefore w:val="0"/>
        <w:kinsoku/>
        <w:wordWrap/>
        <w:overflowPunct/>
        <w:topLinePunct w:val="0"/>
        <w:bidi w:val="0"/>
        <w:spacing w:line="360" w:lineRule="auto"/>
        <w:ind w:firstLine="486" w:firstLineChars="200"/>
        <w:rPr>
          <w:rFonts w:ascii="仿宋_GB2312" w:hAnsi="仿宋" w:eastAsia="仿宋_GB2312"/>
          <w:color w:val="auto"/>
          <w:sz w:val="24"/>
          <w:szCs w:val="24"/>
          <w:highlight w:val="none"/>
          <w:u w:val="single"/>
        </w:rPr>
      </w:pPr>
      <w:r>
        <w:rPr>
          <w:rFonts w:ascii="仿宋_GB2312" w:hAnsi="仿宋" w:eastAsia="仿宋_GB2312"/>
          <w:color w:val="auto"/>
          <w:sz w:val="24"/>
          <w:szCs w:val="24"/>
          <w:highlight w:val="none"/>
        </w:rPr>
        <w:t xml:space="preserve">4.4 </w:t>
      </w:r>
      <w:r>
        <w:rPr>
          <w:rFonts w:hint="eastAsia" w:ascii="仿宋_GB2312" w:hAnsi="仿宋" w:eastAsia="仿宋_GB2312"/>
          <w:color w:val="auto"/>
          <w:sz w:val="24"/>
          <w:szCs w:val="24"/>
          <w:highlight w:val="none"/>
        </w:rPr>
        <w:t>关于使用国外图纸的要求及费用承担：</w:t>
      </w:r>
      <w:r>
        <w:rPr>
          <w:rFonts w:ascii="仿宋_GB2312" w:hAnsi="仿宋" w:eastAsia="仿宋_GB2312"/>
          <w:color w:val="auto"/>
          <w:sz w:val="24"/>
          <w:szCs w:val="24"/>
          <w:highlight w:val="none"/>
          <w:u w:val="single"/>
        </w:rPr>
        <w:tab/>
      </w:r>
      <w:r>
        <w:rPr>
          <w:rFonts w:ascii="仿宋_GB2312" w:hAnsi="仿宋" w:eastAsia="仿宋_GB2312"/>
          <w:color w:val="auto"/>
          <w:sz w:val="24"/>
          <w:szCs w:val="24"/>
          <w:highlight w:val="none"/>
          <w:u w:val="single"/>
        </w:rPr>
        <w:tab/>
      </w:r>
      <w:r>
        <w:rPr>
          <w:rFonts w:hint="eastAsia" w:ascii="仿宋_GB2312" w:hAnsi="仿宋" w:eastAsia="仿宋_GB2312"/>
          <w:color w:val="auto"/>
          <w:sz w:val="24"/>
          <w:szCs w:val="24"/>
          <w:highlight w:val="none"/>
          <w:u w:val="single"/>
          <w:lang w:val="en-US" w:eastAsia="zh-CN"/>
        </w:rPr>
        <w:t>/</w:t>
      </w:r>
      <w:r>
        <w:rPr>
          <w:rFonts w:ascii="仿宋_GB2312" w:hAnsi="仿宋" w:eastAsia="仿宋_GB2312"/>
          <w:color w:val="auto"/>
          <w:sz w:val="24"/>
          <w:szCs w:val="24"/>
          <w:highlight w:val="none"/>
          <w:u w:val="single"/>
        </w:rPr>
        <w:tab/>
      </w:r>
      <w:r>
        <w:rPr>
          <w:rFonts w:ascii="仿宋_GB2312" w:hAnsi="仿宋" w:eastAsia="仿宋_GB2312"/>
          <w:color w:val="auto"/>
          <w:sz w:val="24"/>
          <w:szCs w:val="24"/>
          <w:highlight w:val="none"/>
          <w:u w:val="single"/>
        </w:rPr>
        <w:tab/>
      </w:r>
    </w:p>
    <w:p>
      <w:pPr>
        <w:pStyle w:val="5"/>
        <w:pageBreakBefore w:val="0"/>
        <w:kinsoku/>
        <w:wordWrap/>
        <w:overflowPunct/>
        <w:topLinePunct w:val="0"/>
        <w:bidi w:val="0"/>
        <w:spacing w:before="0" w:after="0" w:line="360" w:lineRule="auto"/>
        <w:ind w:firstLine="566" w:firstLineChars="200"/>
        <w:jc w:val="center"/>
        <w:rPr>
          <w:rFonts w:hint="eastAsia" w:ascii="黑体" w:hAnsi="黑体" w:eastAsia="黑体" w:cs="黑体"/>
          <w:b w:val="0"/>
          <w:color w:val="auto"/>
          <w:sz w:val="28"/>
          <w:szCs w:val="28"/>
          <w:highlight w:val="none"/>
        </w:rPr>
      </w:pPr>
      <w:r>
        <w:rPr>
          <w:rFonts w:hint="eastAsia" w:ascii="黑体" w:hAnsi="黑体" w:eastAsia="黑体" w:cs="黑体"/>
          <w:b w:val="0"/>
          <w:color w:val="auto"/>
          <w:sz w:val="28"/>
          <w:szCs w:val="28"/>
          <w:highlight w:val="none"/>
        </w:rPr>
        <w:t>二、双方一般权利和义务</w:t>
      </w:r>
      <w:bookmarkEnd w:id="738"/>
      <w:bookmarkEnd w:id="739"/>
      <w:bookmarkEnd w:id="740"/>
      <w:bookmarkEnd w:id="741"/>
      <w:bookmarkEnd w:id="742"/>
      <w:bookmarkEnd w:id="743"/>
      <w:bookmarkEnd w:id="744"/>
      <w:bookmarkEnd w:id="745"/>
      <w:bookmarkEnd w:id="746"/>
      <w:bookmarkEnd w:id="747"/>
      <w:bookmarkEnd w:id="748"/>
      <w:bookmarkEnd w:id="749"/>
      <w:bookmarkEnd w:id="754"/>
      <w:bookmarkEnd w:id="755"/>
      <w:bookmarkStart w:id="758" w:name="_Toc11922776"/>
      <w:bookmarkStart w:id="759" w:name="_Toc11922683"/>
    </w:p>
    <w:p>
      <w:pPr>
        <w:pageBreakBefore w:val="0"/>
        <w:kinsoku/>
        <w:wordWrap/>
        <w:overflowPunct/>
        <w:topLinePunct w:val="0"/>
        <w:bidi w:val="0"/>
        <w:spacing w:line="360" w:lineRule="auto"/>
        <w:ind w:firstLine="486" w:firstLineChars="200"/>
        <w:outlineLvl w:val="3"/>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lang w:val="en-US" w:eastAsia="zh-CN"/>
        </w:rPr>
        <w:t>7</w:t>
      </w:r>
      <w:r>
        <w:rPr>
          <w:rFonts w:hint="eastAsia" w:ascii="仿宋_GB2312" w:hAnsi="仿宋_GB2312" w:eastAsia="仿宋_GB2312" w:cs="仿宋_GB2312"/>
          <w:b/>
          <w:color w:val="auto"/>
          <w:kern w:val="0"/>
          <w:sz w:val="24"/>
          <w:szCs w:val="24"/>
          <w:highlight w:val="none"/>
        </w:rPr>
        <w:t>．项目经理</w:t>
      </w:r>
      <w:bookmarkEnd w:id="758"/>
      <w:bookmarkEnd w:id="759"/>
      <w:bookmarkStart w:id="760" w:name="_Toc11922777"/>
      <w:bookmarkStart w:id="761" w:name="_Toc11922684"/>
    </w:p>
    <w:p>
      <w:pPr>
        <w:pageBreakBefore w:val="0"/>
        <w:kinsoku/>
        <w:wordWrap/>
        <w:overflowPunct/>
        <w:topLinePunct w:val="0"/>
        <w:bidi w:val="0"/>
        <w:spacing w:line="360" w:lineRule="auto"/>
        <w:ind w:firstLine="486" w:firstLineChars="200"/>
        <w:jc w:val="left"/>
        <w:rPr>
          <w:rFonts w:hint="eastAsia" w:ascii="仿宋_GB2312" w:hAnsi="仿宋_GB2312" w:eastAsia="仿宋_GB2312" w:cs="仿宋_GB2312"/>
          <w:color w:val="auto"/>
          <w:highlight w:val="none"/>
        </w:rPr>
      </w:pPr>
      <w:r>
        <w:rPr>
          <w:rFonts w:hint="eastAsia" w:ascii="仿宋_GB2312" w:hAnsi="仿宋_GB2312" w:eastAsia="仿宋_GB2312" w:cs="仿宋_GB2312"/>
          <w:bCs/>
          <w:color w:val="auto"/>
          <w:kern w:val="0"/>
          <w:sz w:val="24"/>
          <w:szCs w:val="24"/>
          <w:highlight w:val="none"/>
        </w:rPr>
        <w:t>姓名：</w:t>
      </w:r>
      <w:r>
        <w:rPr>
          <w:rFonts w:hint="eastAsia" w:ascii="仿宋_GB2312" w:hAnsi="仿宋_GB2312" w:eastAsia="仿宋_GB2312" w:cs="仿宋_GB2312"/>
          <w:bCs/>
          <w:color w:val="auto"/>
          <w:kern w:val="0"/>
          <w:sz w:val="24"/>
          <w:szCs w:val="24"/>
          <w:highlight w:val="none"/>
          <w:u w:val="single"/>
        </w:rPr>
        <w:tab/>
      </w:r>
      <w:r>
        <w:rPr>
          <w:rFonts w:hint="eastAsia" w:ascii="仿宋_GB2312" w:hAnsi="仿宋_GB2312" w:eastAsia="仿宋_GB2312" w:cs="仿宋_GB2312"/>
          <w:bCs/>
          <w:color w:val="auto"/>
          <w:kern w:val="0"/>
          <w:sz w:val="24"/>
          <w:szCs w:val="24"/>
          <w:highlight w:val="none"/>
          <w:u w:val="single"/>
        </w:rPr>
        <w:tab/>
      </w:r>
      <w:r>
        <w:rPr>
          <w:rFonts w:hint="eastAsia" w:ascii="仿宋_GB2312" w:hAnsi="仿宋_GB2312" w:eastAsia="仿宋_GB2312" w:cs="仿宋_GB2312"/>
          <w:bCs/>
          <w:color w:val="auto"/>
          <w:kern w:val="0"/>
          <w:sz w:val="24"/>
          <w:szCs w:val="24"/>
          <w:highlight w:val="none"/>
          <w:u w:val="single"/>
          <w:lang w:val="en-US" w:eastAsia="zh-CN"/>
        </w:rPr>
        <w:t>沈永斌</w:t>
      </w:r>
      <w:r>
        <w:rPr>
          <w:rFonts w:hint="eastAsia" w:ascii="仿宋_GB2312" w:hAnsi="仿宋_GB2312" w:eastAsia="仿宋_GB2312" w:cs="仿宋_GB2312"/>
          <w:bCs/>
          <w:color w:val="auto"/>
          <w:kern w:val="0"/>
          <w:sz w:val="24"/>
          <w:szCs w:val="24"/>
          <w:highlight w:val="none"/>
          <w:u w:val="single"/>
        </w:rPr>
        <w:tab/>
      </w:r>
      <w:r>
        <w:rPr>
          <w:rFonts w:hint="eastAsia" w:ascii="仿宋_GB2312" w:hAnsi="仿宋_GB2312" w:eastAsia="仿宋_GB2312" w:cs="仿宋_GB2312"/>
          <w:bCs/>
          <w:color w:val="auto"/>
          <w:kern w:val="0"/>
          <w:sz w:val="24"/>
          <w:szCs w:val="24"/>
          <w:highlight w:val="none"/>
        </w:rPr>
        <w:t>职务：</w:t>
      </w:r>
      <w:r>
        <w:rPr>
          <w:rFonts w:hint="eastAsia" w:ascii="仿宋_GB2312" w:hAnsi="仿宋_GB2312" w:eastAsia="仿宋_GB2312" w:cs="仿宋_GB2312"/>
          <w:bCs/>
          <w:color w:val="auto"/>
          <w:kern w:val="0"/>
          <w:sz w:val="24"/>
          <w:szCs w:val="24"/>
          <w:highlight w:val="none"/>
          <w:u w:val="single"/>
        </w:rPr>
        <w:tab/>
      </w:r>
      <w:r>
        <w:rPr>
          <w:rFonts w:hint="eastAsia" w:ascii="仿宋_GB2312" w:hAnsi="仿宋_GB2312" w:eastAsia="仿宋_GB2312" w:cs="仿宋_GB2312"/>
          <w:bCs/>
          <w:color w:val="auto"/>
          <w:kern w:val="0"/>
          <w:sz w:val="24"/>
          <w:szCs w:val="24"/>
          <w:highlight w:val="none"/>
          <w:u w:val="single"/>
          <w:lang w:val="en-US" w:eastAsia="zh-CN"/>
        </w:rPr>
        <w:t xml:space="preserve">项目经理 </w:t>
      </w:r>
      <w:r>
        <w:rPr>
          <w:rFonts w:hint="eastAsia" w:ascii="仿宋_GB2312" w:hAnsi="仿宋_GB2312" w:eastAsia="仿宋_GB2312" w:cs="仿宋_GB2312"/>
          <w:b w:val="0"/>
          <w:bCs w:val="0"/>
          <w:color w:val="auto"/>
          <w:kern w:val="0"/>
          <w:sz w:val="24"/>
          <w:szCs w:val="24"/>
          <w:highlight w:val="none"/>
          <w:u w:val="none"/>
          <w:lang w:val="en-US" w:eastAsia="zh-CN"/>
        </w:rPr>
        <w:t>签字样本</w:t>
      </w:r>
      <w:r>
        <w:rPr>
          <w:rFonts w:hint="eastAsia" w:ascii="仿宋_GB2312" w:hAnsi="仿宋_GB2312" w:eastAsia="仿宋_GB2312" w:cs="仿宋_GB2312"/>
          <w:b w:val="0"/>
          <w:bCs w:val="0"/>
          <w:color w:val="auto"/>
          <w:kern w:val="0"/>
          <w:sz w:val="24"/>
          <w:szCs w:val="24"/>
          <w:highlight w:val="none"/>
        </w:rPr>
        <w:t>：</w:t>
      </w:r>
      <w:r>
        <w:rPr>
          <w:rFonts w:hint="eastAsia" w:ascii="仿宋_GB2312" w:hAnsi="仿宋_GB2312" w:eastAsia="仿宋_GB2312" w:cs="仿宋_GB2312"/>
          <w:b w:val="0"/>
          <w:bCs w:val="0"/>
          <w:color w:val="auto"/>
          <w:kern w:val="0"/>
          <w:sz w:val="24"/>
          <w:szCs w:val="24"/>
          <w:highlight w:val="none"/>
          <w:u w:val="single"/>
        </w:rPr>
        <w:tab/>
      </w:r>
      <w:r>
        <w:rPr>
          <w:rFonts w:hint="eastAsia" w:ascii="仿宋_GB2312" w:hAnsi="仿宋_GB2312" w:eastAsia="仿宋_GB2312" w:cs="仿宋_GB2312"/>
          <w:b w:val="0"/>
          <w:bCs w:val="0"/>
          <w:color w:val="auto"/>
          <w:kern w:val="0"/>
          <w:sz w:val="24"/>
          <w:szCs w:val="24"/>
          <w:highlight w:val="none"/>
          <w:u w:val="single"/>
        </w:rPr>
        <w:tab/>
      </w:r>
      <w:r>
        <w:rPr>
          <w:rFonts w:hint="eastAsia" w:ascii="仿宋_GB2312" w:hAnsi="仿宋_GB2312" w:eastAsia="仿宋_GB2312" w:cs="仿宋_GB2312"/>
          <w:b w:val="0"/>
          <w:bCs w:val="0"/>
          <w:color w:val="auto"/>
          <w:kern w:val="0"/>
          <w:sz w:val="24"/>
          <w:szCs w:val="24"/>
          <w:highlight w:val="none"/>
          <w:u w:val="single"/>
        </w:rPr>
        <w:tab/>
      </w:r>
      <w:r>
        <w:rPr>
          <w:rFonts w:hint="eastAsia" w:ascii="仿宋_GB2312" w:hAnsi="仿宋_GB2312" w:eastAsia="仿宋_GB2312" w:cs="仿宋_GB2312"/>
          <w:bCs/>
          <w:color w:val="auto"/>
          <w:kern w:val="0"/>
          <w:sz w:val="24"/>
          <w:szCs w:val="24"/>
          <w:highlight w:val="none"/>
        </w:rPr>
        <w:t>（</w:t>
      </w:r>
      <w:r>
        <w:rPr>
          <w:rFonts w:hint="eastAsia" w:ascii="仿宋_GB2312" w:hAnsi="仿宋_GB2312" w:eastAsia="仿宋_GB2312" w:cs="仿宋_GB2312"/>
          <w:bCs/>
          <w:color w:val="auto"/>
          <w:kern w:val="0"/>
          <w:sz w:val="24"/>
          <w:szCs w:val="24"/>
          <w:highlight w:val="none"/>
          <w:lang w:val="en-US" w:eastAsia="zh-CN"/>
        </w:rPr>
        <w:t>授权委托书</w:t>
      </w:r>
      <w:r>
        <w:rPr>
          <w:rFonts w:hint="eastAsia" w:ascii="仿宋_GB2312" w:hAnsi="仿宋_GB2312" w:eastAsia="仿宋_GB2312" w:cs="仿宋_GB2312"/>
          <w:bCs/>
          <w:color w:val="auto"/>
          <w:kern w:val="0"/>
          <w:sz w:val="24"/>
          <w:szCs w:val="24"/>
          <w:highlight w:val="none"/>
        </w:rPr>
        <w:t>作为分包合同附件）。</w:t>
      </w:r>
      <w:bookmarkEnd w:id="760"/>
      <w:bookmarkEnd w:id="761"/>
      <w:bookmarkStart w:id="762" w:name="_Toc11922685"/>
      <w:bookmarkStart w:id="763" w:name="_Toc11922778"/>
    </w:p>
    <w:p>
      <w:pPr>
        <w:pageBreakBefore w:val="0"/>
        <w:numPr>
          <w:ilvl w:val="0"/>
          <w:numId w:val="0"/>
        </w:numPr>
        <w:kinsoku/>
        <w:wordWrap/>
        <w:overflowPunct/>
        <w:topLinePunct w:val="0"/>
        <w:bidi w:val="0"/>
        <w:spacing w:line="360" w:lineRule="auto"/>
        <w:ind w:left="420" w:leftChars="0"/>
        <w:outlineLvl w:val="3"/>
        <w:rPr>
          <w:rFonts w:hint="eastAsia" w:ascii="仿宋_GB2312" w:hAnsi="仿宋_GB2312" w:eastAsia="仿宋_GB2312" w:cs="仿宋_GB2312"/>
          <w:b/>
          <w:color w:val="auto"/>
          <w:kern w:val="0"/>
          <w:sz w:val="24"/>
          <w:szCs w:val="24"/>
          <w:highlight w:val="none"/>
          <w:lang w:val="en-US" w:eastAsia="zh-CN"/>
        </w:rPr>
      </w:pPr>
      <w:r>
        <w:rPr>
          <w:rFonts w:hint="eastAsia" w:ascii="仿宋_GB2312" w:hAnsi="仿宋_GB2312" w:eastAsia="仿宋_GB2312" w:cs="仿宋_GB2312"/>
          <w:b/>
          <w:color w:val="auto"/>
          <w:kern w:val="0"/>
          <w:sz w:val="24"/>
          <w:szCs w:val="24"/>
          <w:highlight w:val="none"/>
          <w:lang w:val="en-US" w:eastAsia="zh-CN"/>
        </w:rPr>
        <w:t>8.</w:t>
      </w:r>
      <w:r>
        <w:rPr>
          <w:rFonts w:hint="eastAsia" w:ascii="仿宋_GB2312" w:hAnsi="仿宋_GB2312" w:eastAsia="仿宋_GB2312" w:cs="仿宋_GB2312"/>
          <w:b/>
          <w:color w:val="auto"/>
          <w:kern w:val="0"/>
          <w:sz w:val="24"/>
          <w:szCs w:val="24"/>
          <w:highlight w:val="none"/>
        </w:rPr>
        <w:t>分包</w:t>
      </w:r>
      <w:r>
        <w:rPr>
          <w:rFonts w:hint="eastAsia" w:ascii="仿宋_GB2312" w:hAnsi="仿宋_GB2312" w:eastAsia="仿宋_GB2312" w:cs="仿宋_GB2312"/>
          <w:b/>
          <w:color w:val="auto"/>
          <w:kern w:val="0"/>
          <w:sz w:val="24"/>
          <w:szCs w:val="24"/>
          <w:highlight w:val="none"/>
          <w:lang w:val="en-US" w:eastAsia="zh-CN"/>
        </w:rPr>
        <w:t>人情况</w:t>
      </w:r>
    </w:p>
    <w:p>
      <w:pPr>
        <w:pageBreakBefore w:val="0"/>
        <w:numPr>
          <w:ilvl w:val="0"/>
          <w:numId w:val="0"/>
        </w:numPr>
        <w:kinsoku/>
        <w:wordWrap/>
        <w:overflowPunct/>
        <w:topLinePunct w:val="0"/>
        <w:bidi w:val="0"/>
        <w:spacing w:line="360" w:lineRule="auto"/>
        <w:ind w:left="420" w:leftChars="0"/>
        <w:outlineLvl w:val="9"/>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kern w:val="0"/>
          <w:sz w:val="24"/>
          <w:szCs w:val="24"/>
          <w:highlight w:val="none"/>
          <w:lang w:val="en-US" w:eastAsia="zh-CN"/>
        </w:rPr>
        <w:t>8.1</w:t>
      </w:r>
      <w:r>
        <w:rPr>
          <w:rFonts w:hint="eastAsia" w:ascii="仿宋_GB2312" w:hAnsi="仿宋_GB2312" w:eastAsia="仿宋_GB2312" w:cs="仿宋_GB2312"/>
          <w:b w:val="0"/>
          <w:bCs/>
          <w:color w:val="auto"/>
          <w:kern w:val="0"/>
          <w:sz w:val="24"/>
          <w:szCs w:val="24"/>
          <w:highlight w:val="none"/>
        </w:rPr>
        <w:t>项目经理（如有）</w:t>
      </w:r>
      <w:bookmarkEnd w:id="762"/>
      <w:bookmarkEnd w:id="763"/>
      <w:bookmarkStart w:id="764" w:name="_Toc11922686"/>
      <w:bookmarkStart w:id="765" w:name="_Toc11922779"/>
    </w:p>
    <w:p>
      <w:pPr>
        <w:pageBreakBefore w:val="0"/>
        <w:widowControl w:val="0"/>
        <w:kinsoku/>
        <w:wordWrap/>
        <w:overflowPunct/>
        <w:topLinePunct w:val="0"/>
        <w:autoSpaceDE/>
        <w:autoSpaceDN/>
        <w:bidi w:val="0"/>
        <w:adjustRightInd/>
        <w:snapToGrid/>
        <w:spacing w:line="360" w:lineRule="auto"/>
        <w:ind w:firstLine="486" w:firstLineChars="200"/>
        <w:textAlignment w:val="auto"/>
        <w:outlineLvl w:val="9"/>
        <w:rPr>
          <w:rFonts w:hint="eastAsia" w:ascii="仿宋_GB2312" w:hAnsi="仿宋_GB2312" w:eastAsia="仿宋_GB2312" w:cs="仿宋_GB2312"/>
          <w:b w:val="0"/>
          <w:bCs w:val="0"/>
          <w:color w:val="auto"/>
          <w:kern w:val="0"/>
          <w:sz w:val="24"/>
          <w:szCs w:val="24"/>
          <w:highlight w:val="none"/>
          <w:u w:val="single"/>
        </w:rPr>
      </w:pPr>
      <w:r>
        <w:rPr>
          <w:rFonts w:hint="eastAsia" w:ascii="仿宋_GB2312" w:hAnsi="仿宋_GB2312" w:eastAsia="仿宋_GB2312" w:cs="仿宋_GB2312"/>
          <w:b w:val="0"/>
          <w:bCs w:val="0"/>
          <w:color w:val="auto"/>
          <w:kern w:val="0"/>
          <w:sz w:val="24"/>
          <w:szCs w:val="24"/>
          <w:highlight w:val="none"/>
        </w:rPr>
        <w:t>姓名：</w:t>
      </w:r>
      <w:r>
        <w:rPr>
          <w:rFonts w:hint="eastAsia" w:ascii="仿宋_GB2312" w:hAnsi="仿宋_GB2312" w:eastAsia="仿宋_GB2312" w:cs="仿宋_GB2312"/>
          <w:b w:val="0"/>
          <w:bCs w:val="0"/>
          <w:color w:val="auto"/>
          <w:kern w:val="0"/>
          <w:sz w:val="24"/>
          <w:szCs w:val="24"/>
          <w:highlight w:val="none"/>
          <w:u w:val="single"/>
        </w:rPr>
        <w:tab/>
      </w:r>
      <w:r>
        <w:rPr>
          <w:rFonts w:hint="eastAsia" w:ascii="仿宋_GB2312" w:hAnsi="仿宋_GB2312" w:eastAsia="仿宋_GB2312" w:cs="仿宋_GB2312"/>
          <w:b w:val="0"/>
          <w:bCs w:val="0"/>
          <w:color w:val="auto"/>
          <w:kern w:val="0"/>
          <w:sz w:val="24"/>
          <w:szCs w:val="24"/>
          <w:highlight w:val="none"/>
          <w:u w:val="single"/>
        </w:rPr>
        <w:tab/>
      </w:r>
      <w:r>
        <w:rPr>
          <w:rFonts w:hint="eastAsia" w:ascii="仿宋_GB2312" w:hAnsi="仿宋_GB2312" w:eastAsia="仿宋_GB2312" w:cs="仿宋_GB2312"/>
          <w:b w:val="0"/>
          <w:bCs w:val="0"/>
          <w:color w:val="auto"/>
          <w:kern w:val="0"/>
          <w:sz w:val="24"/>
          <w:szCs w:val="24"/>
          <w:highlight w:val="none"/>
          <w:u w:val="single"/>
        </w:rPr>
        <w:tab/>
      </w:r>
      <w:r>
        <w:rPr>
          <w:rFonts w:hint="eastAsia" w:ascii="仿宋_GB2312" w:hAnsi="仿宋_GB2312" w:eastAsia="仿宋_GB2312" w:cs="仿宋_GB2312"/>
          <w:b w:val="0"/>
          <w:bCs w:val="0"/>
          <w:color w:val="auto"/>
          <w:kern w:val="0"/>
          <w:sz w:val="24"/>
          <w:szCs w:val="24"/>
          <w:highlight w:val="none"/>
        </w:rPr>
        <w:t>职务</w:t>
      </w:r>
      <w:r>
        <w:rPr>
          <w:rFonts w:hint="eastAsia" w:ascii="仿宋_GB2312" w:hAnsi="仿宋_GB2312" w:eastAsia="仿宋_GB2312" w:cs="仿宋_GB2312"/>
          <w:b w:val="0"/>
          <w:bCs w:val="0"/>
          <w:color w:val="auto"/>
          <w:kern w:val="0"/>
          <w:sz w:val="24"/>
          <w:szCs w:val="24"/>
          <w:highlight w:val="none"/>
          <w:u w:val="single"/>
        </w:rPr>
        <w:t>：</w:t>
      </w:r>
      <w:r>
        <w:rPr>
          <w:rFonts w:hint="eastAsia" w:ascii="仿宋_GB2312" w:hAnsi="仿宋_GB2312" w:eastAsia="仿宋_GB2312" w:cs="仿宋_GB2312"/>
          <w:b w:val="0"/>
          <w:bCs w:val="0"/>
          <w:color w:val="auto"/>
          <w:kern w:val="0"/>
          <w:sz w:val="24"/>
          <w:szCs w:val="24"/>
          <w:highlight w:val="none"/>
          <w:u w:val="single"/>
        </w:rPr>
        <w:tab/>
      </w:r>
      <w:r>
        <w:rPr>
          <w:rFonts w:hint="eastAsia" w:ascii="仿宋_GB2312" w:hAnsi="仿宋_GB2312" w:eastAsia="仿宋_GB2312" w:cs="仿宋_GB2312"/>
          <w:b w:val="0"/>
          <w:bCs w:val="0"/>
          <w:color w:val="auto"/>
          <w:kern w:val="0"/>
          <w:sz w:val="24"/>
          <w:szCs w:val="24"/>
          <w:highlight w:val="none"/>
          <w:u w:val="single"/>
        </w:rPr>
        <w:tab/>
      </w:r>
      <w:r>
        <w:rPr>
          <w:rFonts w:hint="eastAsia" w:ascii="仿宋_GB2312" w:hAnsi="仿宋_GB2312" w:eastAsia="仿宋_GB2312" w:cs="仿宋_GB2312"/>
          <w:b w:val="0"/>
          <w:bCs w:val="0"/>
          <w:color w:val="auto"/>
          <w:kern w:val="0"/>
          <w:sz w:val="24"/>
          <w:szCs w:val="24"/>
          <w:highlight w:val="none"/>
          <w:u w:val="single"/>
        </w:rPr>
        <w:tab/>
      </w:r>
    </w:p>
    <w:p>
      <w:pPr>
        <w:pageBreakBefore w:val="0"/>
        <w:widowControl w:val="0"/>
        <w:kinsoku/>
        <w:wordWrap/>
        <w:overflowPunct/>
        <w:topLinePunct w:val="0"/>
        <w:autoSpaceDE/>
        <w:autoSpaceDN/>
        <w:bidi w:val="0"/>
        <w:adjustRightInd/>
        <w:snapToGrid/>
        <w:spacing w:line="360" w:lineRule="auto"/>
        <w:ind w:firstLine="486" w:firstLineChars="200"/>
        <w:textAlignment w:val="auto"/>
        <w:outlineLvl w:val="9"/>
        <w:rPr>
          <w:rFonts w:hint="eastAsia" w:ascii="仿宋_GB2312" w:hAnsi="仿宋_GB2312" w:eastAsia="仿宋_GB2312" w:cs="仿宋_GB2312"/>
          <w:b w:val="0"/>
          <w:bCs w:val="0"/>
          <w:color w:val="auto"/>
          <w:kern w:val="0"/>
          <w:sz w:val="24"/>
          <w:szCs w:val="24"/>
          <w:highlight w:val="none"/>
        </w:rPr>
      </w:pPr>
      <w:r>
        <w:rPr>
          <w:rFonts w:hint="eastAsia" w:ascii="仿宋_GB2312" w:hAnsi="仿宋_GB2312" w:eastAsia="仿宋_GB2312" w:cs="仿宋_GB2312"/>
          <w:b w:val="0"/>
          <w:bCs/>
          <w:color w:val="auto"/>
          <w:kern w:val="0"/>
          <w:sz w:val="24"/>
          <w:szCs w:val="24"/>
          <w:highlight w:val="none"/>
          <w:lang w:val="en-US" w:eastAsia="zh-CN" w:bidi="ar-SA"/>
        </w:rPr>
        <w:t>身份证号</w:t>
      </w:r>
      <w:r>
        <w:rPr>
          <w:rFonts w:hint="eastAsia" w:ascii="仿宋_GB2312" w:hAnsi="仿宋_GB2312" w:eastAsia="仿宋_GB2312" w:cs="仿宋_GB2312"/>
          <w:bCs/>
          <w:color w:val="auto"/>
          <w:kern w:val="0"/>
          <w:sz w:val="24"/>
          <w:szCs w:val="24"/>
          <w:highlight w:val="none"/>
        </w:rPr>
        <w:t>：</w:t>
      </w:r>
      <w:r>
        <w:rPr>
          <w:rFonts w:hint="eastAsia" w:ascii="仿宋_GB2312" w:hAnsi="仿宋_GB2312" w:eastAsia="仿宋_GB2312" w:cs="仿宋_GB2312"/>
          <w:bCs/>
          <w:color w:val="auto"/>
          <w:kern w:val="0"/>
          <w:sz w:val="24"/>
          <w:szCs w:val="24"/>
          <w:highlight w:val="none"/>
          <w:u w:val="single"/>
        </w:rPr>
        <w:tab/>
      </w:r>
      <w:r>
        <w:rPr>
          <w:rFonts w:hint="eastAsia" w:ascii="仿宋_GB2312" w:hAnsi="仿宋_GB2312" w:eastAsia="仿宋_GB2312" w:cs="仿宋_GB2312"/>
          <w:bCs/>
          <w:color w:val="auto"/>
          <w:kern w:val="0"/>
          <w:sz w:val="24"/>
          <w:szCs w:val="24"/>
          <w:highlight w:val="none"/>
          <w:u w:val="single"/>
        </w:rPr>
        <w:tab/>
      </w:r>
      <w:r>
        <w:rPr>
          <w:rFonts w:hint="eastAsia" w:ascii="仿宋_GB2312" w:hAnsi="仿宋_GB2312" w:eastAsia="仿宋_GB2312" w:cs="仿宋_GB2312"/>
          <w:bCs/>
          <w:color w:val="auto"/>
          <w:kern w:val="0"/>
          <w:sz w:val="24"/>
          <w:szCs w:val="24"/>
          <w:highlight w:val="none"/>
          <w:u w:val="single"/>
        </w:rPr>
        <w:tab/>
      </w:r>
      <w:r>
        <w:rPr>
          <w:rFonts w:hint="eastAsia" w:ascii="仿宋_GB2312" w:hAnsi="仿宋_GB2312" w:eastAsia="仿宋_GB2312" w:cs="仿宋_GB2312"/>
          <w:b w:val="0"/>
          <w:bCs w:val="0"/>
          <w:color w:val="auto"/>
          <w:kern w:val="0"/>
          <w:sz w:val="24"/>
          <w:szCs w:val="24"/>
          <w:highlight w:val="none"/>
          <w:u w:val="none"/>
          <w:lang w:val="en-US" w:eastAsia="zh-CN"/>
        </w:rPr>
        <w:t>签字样本</w:t>
      </w:r>
      <w:r>
        <w:rPr>
          <w:rFonts w:hint="eastAsia" w:ascii="仿宋_GB2312" w:hAnsi="仿宋_GB2312" w:eastAsia="仿宋_GB2312" w:cs="仿宋_GB2312"/>
          <w:b w:val="0"/>
          <w:bCs w:val="0"/>
          <w:color w:val="auto"/>
          <w:kern w:val="0"/>
          <w:sz w:val="24"/>
          <w:szCs w:val="24"/>
          <w:highlight w:val="none"/>
        </w:rPr>
        <w:t>：</w:t>
      </w:r>
      <w:r>
        <w:rPr>
          <w:rFonts w:hint="eastAsia" w:ascii="仿宋_GB2312" w:hAnsi="仿宋_GB2312" w:eastAsia="仿宋_GB2312" w:cs="仿宋_GB2312"/>
          <w:b w:val="0"/>
          <w:bCs w:val="0"/>
          <w:color w:val="auto"/>
          <w:kern w:val="0"/>
          <w:sz w:val="24"/>
          <w:szCs w:val="24"/>
          <w:highlight w:val="none"/>
          <w:u w:val="single"/>
        </w:rPr>
        <w:tab/>
      </w:r>
      <w:r>
        <w:rPr>
          <w:rFonts w:hint="eastAsia" w:ascii="仿宋_GB2312" w:hAnsi="仿宋_GB2312" w:eastAsia="仿宋_GB2312" w:cs="仿宋_GB2312"/>
          <w:b w:val="0"/>
          <w:bCs w:val="0"/>
          <w:color w:val="auto"/>
          <w:kern w:val="0"/>
          <w:sz w:val="24"/>
          <w:szCs w:val="24"/>
          <w:highlight w:val="none"/>
          <w:u w:val="single"/>
        </w:rPr>
        <w:tab/>
      </w:r>
      <w:r>
        <w:rPr>
          <w:rFonts w:hint="eastAsia" w:ascii="仿宋_GB2312" w:hAnsi="仿宋_GB2312" w:eastAsia="仿宋_GB2312" w:cs="仿宋_GB2312"/>
          <w:b w:val="0"/>
          <w:bCs w:val="0"/>
          <w:color w:val="auto"/>
          <w:kern w:val="0"/>
          <w:sz w:val="24"/>
          <w:szCs w:val="24"/>
          <w:highlight w:val="none"/>
          <w:u w:val="single"/>
        </w:rPr>
        <w:tab/>
      </w:r>
      <w:bookmarkEnd w:id="764"/>
      <w:bookmarkEnd w:id="765"/>
      <w:r>
        <w:rPr>
          <w:rFonts w:hint="eastAsia" w:ascii="仿宋_GB2312" w:hAnsi="仿宋_GB2312" w:eastAsia="仿宋_GB2312" w:cs="仿宋_GB2312"/>
          <w:b w:val="0"/>
          <w:bCs w:val="0"/>
          <w:color w:val="auto"/>
          <w:kern w:val="0"/>
          <w:sz w:val="24"/>
          <w:szCs w:val="24"/>
          <w:highlight w:val="none"/>
        </w:rPr>
        <w:t>（</w:t>
      </w:r>
      <w:r>
        <w:rPr>
          <w:rFonts w:hint="eastAsia" w:ascii="仿宋_GB2312" w:hAnsi="仿宋_GB2312" w:eastAsia="仿宋_GB2312" w:cs="仿宋_GB2312"/>
          <w:b w:val="0"/>
          <w:bCs w:val="0"/>
          <w:color w:val="auto"/>
          <w:kern w:val="0"/>
          <w:sz w:val="24"/>
          <w:szCs w:val="24"/>
          <w:highlight w:val="none"/>
          <w:lang w:val="en-US" w:eastAsia="zh-CN"/>
        </w:rPr>
        <w:t>授权委托书</w:t>
      </w:r>
      <w:r>
        <w:rPr>
          <w:rFonts w:hint="eastAsia" w:ascii="仿宋_GB2312" w:hAnsi="仿宋_GB2312" w:eastAsia="仿宋_GB2312" w:cs="仿宋_GB2312"/>
          <w:b w:val="0"/>
          <w:bCs w:val="0"/>
          <w:color w:val="auto"/>
          <w:kern w:val="0"/>
          <w:sz w:val="24"/>
          <w:szCs w:val="24"/>
          <w:highlight w:val="none"/>
        </w:rPr>
        <w:t>作为分包合同附件）。</w:t>
      </w:r>
    </w:p>
    <w:p>
      <w:pPr>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项目经理获得分包人的全权授权委托书，授权范围包括现场管理、质量、安全、工期、经济活动中的一切处置权、现场施工工人的聘用权、代为发放工资等相关权限。</w:t>
      </w:r>
    </w:p>
    <w:p>
      <w:pPr>
        <w:pageBreakBefore w:val="0"/>
        <w:kinsoku/>
        <w:wordWrap/>
        <w:overflowPunct/>
        <w:topLinePunct w:val="0"/>
        <w:bidi w:val="0"/>
        <w:spacing w:line="360" w:lineRule="auto"/>
        <w:ind w:firstLine="486" w:firstLineChars="200"/>
        <w:outlineLvl w:val="9"/>
        <w:rPr>
          <w:rFonts w:hint="eastAsia" w:ascii="仿宋_GB2312" w:hAnsi="仿宋_GB2312" w:eastAsia="仿宋_GB2312" w:cs="仿宋_GB2312"/>
          <w:b w:val="0"/>
          <w:bCs w:val="0"/>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8.2.专职安全员</w:t>
      </w:r>
    </w:p>
    <w:p>
      <w:pPr>
        <w:pageBreakBefore w:val="0"/>
        <w:kinsoku/>
        <w:wordWrap/>
        <w:overflowPunct/>
        <w:topLinePunct w:val="0"/>
        <w:bidi w:val="0"/>
        <w:spacing w:line="360" w:lineRule="auto"/>
        <w:ind w:firstLine="486" w:firstLineChars="200"/>
        <w:outlineLvl w:val="9"/>
        <w:rPr>
          <w:rFonts w:hint="eastAsia" w:ascii="仿宋_GB2312" w:hAnsi="仿宋_GB2312" w:eastAsia="仿宋_GB2312" w:cs="仿宋_GB2312"/>
          <w:bCs/>
          <w:color w:val="auto"/>
          <w:kern w:val="0"/>
          <w:sz w:val="24"/>
          <w:szCs w:val="24"/>
          <w:highlight w:val="none"/>
          <w:u w:val="single"/>
        </w:rPr>
      </w:pPr>
      <w:r>
        <w:rPr>
          <w:rFonts w:hint="eastAsia" w:ascii="仿宋_GB2312" w:hAnsi="仿宋_GB2312" w:eastAsia="仿宋_GB2312" w:cs="仿宋_GB2312"/>
          <w:b w:val="0"/>
          <w:bCs/>
          <w:color w:val="auto"/>
          <w:kern w:val="0"/>
          <w:sz w:val="24"/>
          <w:szCs w:val="24"/>
          <w:highlight w:val="none"/>
          <w:lang w:val="en-US" w:eastAsia="zh-CN" w:bidi="ar-SA"/>
        </w:rPr>
        <w:t>姓名</w:t>
      </w:r>
      <w:r>
        <w:rPr>
          <w:rFonts w:hint="eastAsia" w:ascii="仿宋_GB2312" w:hAnsi="仿宋_GB2312" w:eastAsia="仿宋_GB2312" w:cs="仿宋_GB2312"/>
          <w:bCs/>
          <w:color w:val="auto"/>
          <w:kern w:val="0"/>
          <w:sz w:val="24"/>
          <w:szCs w:val="24"/>
          <w:highlight w:val="none"/>
        </w:rPr>
        <w:t>：</w:t>
      </w:r>
      <w:r>
        <w:rPr>
          <w:rFonts w:hint="eastAsia" w:ascii="仿宋_GB2312" w:hAnsi="仿宋_GB2312" w:eastAsia="仿宋_GB2312" w:cs="仿宋_GB2312"/>
          <w:bCs/>
          <w:color w:val="auto"/>
          <w:kern w:val="0"/>
          <w:sz w:val="24"/>
          <w:szCs w:val="24"/>
          <w:highlight w:val="none"/>
          <w:u w:val="single"/>
        </w:rPr>
        <w:tab/>
      </w:r>
      <w:r>
        <w:rPr>
          <w:rFonts w:hint="eastAsia" w:ascii="仿宋_GB2312" w:hAnsi="仿宋_GB2312" w:eastAsia="仿宋_GB2312" w:cs="仿宋_GB2312"/>
          <w:bCs/>
          <w:color w:val="auto"/>
          <w:kern w:val="0"/>
          <w:sz w:val="24"/>
          <w:szCs w:val="24"/>
          <w:highlight w:val="none"/>
          <w:u w:val="single"/>
        </w:rPr>
        <w:tab/>
      </w:r>
      <w:r>
        <w:rPr>
          <w:rFonts w:hint="eastAsia" w:ascii="仿宋_GB2312" w:hAnsi="仿宋_GB2312" w:eastAsia="仿宋_GB2312" w:cs="仿宋_GB2312"/>
          <w:bCs/>
          <w:color w:val="auto"/>
          <w:kern w:val="0"/>
          <w:sz w:val="24"/>
          <w:szCs w:val="24"/>
          <w:highlight w:val="none"/>
          <w:u w:val="single"/>
        </w:rPr>
        <w:tab/>
      </w:r>
      <w:r>
        <w:rPr>
          <w:rFonts w:hint="eastAsia" w:ascii="仿宋_GB2312" w:hAnsi="仿宋_GB2312" w:eastAsia="仿宋_GB2312" w:cs="仿宋_GB2312"/>
          <w:b w:val="0"/>
          <w:bCs w:val="0"/>
          <w:color w:val="auto"/>
          <w:kern w:val="0"/>
          <w:sz w:val="24"/>
          <w:szCs w:val="24"/>
          <w:highlight w:val="none"/>
        </w:rPr>
        <w:t>职务</w:t>
      </w:r>
      <w:r>
        <w:rPr>
          <w:rFonts w:hint="eastAsia" w:ascii="仿宋_GB2312" w:hAnsi="仿宋_GB2312" w:eastAsia="仿宋_GB2312" w:cs="仿宋_GB2312"/>
          <w:b w:val="0"/>
          <w:bCs w:val="0"/>
          <w:color w:val="auto"/>
          <w:kern w:val="0"/>
          <w:sz w:val="24"/>
          <w:szCs w:val="24"/>
          <w:highlight w:val="none"/>
          <w:u w:val="single"/>
        </w:rPr>
        <w:t>：</w:t>
      </w:r>
      <w:r>
        <w:rPr>
          <w:rFonts w:hint="eastAsia" w:ascii="仿宋_GB2312" w:hAnsi="仿宋_GB2312" w:eastAsia="仿宋_GB2312" w:cs="仿宋_GB2312"/>
          <w:b w:val="0"/>
          <w:bCs w:val="0"/>
          <w:color w:val="auto"/>
          <w:kern w:val="0"/>
          <w:sz w:val="24"/>
          <w:szCs w:val="24"/>
          <w:highlight w:val="none"/>
          <w:u w:val="single"/>
        </w:rPr>
        <w:tab/>
      </w:r>
      <w:r>
        <w:rPr>
          <w:rFonts w:hint="eastAsia" w:ascii="仿宋_GB2312" w:hAnsi="仿宋_GB2312" w:eastAsia="仿宋_GB2312" w:cs="仿宋_GB2312"/>
          <w:b w:val="0"/>
          <w:bCs w:val="0"/>
          <w:color w:val="auto"/>
          <w:kern w:val="0"/>
          <w:sz w:val="24"/>
          <w:szCs w:val="24"/>
          <w:highlight w:val="none"/>
          <w:u w:val="single"/>
        </w:rPr>
        <w:tab/>
      </w:r>
      <w:r>
        <w:rPr>
          <w:rFonts w:hint="eastAsia" w:ascii="仿宋_GB2312" w:hAnsi="仿宋_GB2312" w:eastAsia="仿宋_GB2312" w:cs="仿宋_GB2312"/>
          <w:b w:val="0"/>
          <w:bCs w:val="0"/>
          <w:color w:val="auto"/>
          <w:kern w:val="0"/>
          <w:sz w:val="24"/>
          <w:szCs w:val="24"/>
          <w:highlight w:val="none"/>
          <w:u w:val="single"/>
        </w:rPr>
        <w:tab/>
      </w:r>
      <w:r>
        <w:rPr>
          <w:rFonts w:hint="eastAsia" w:ascii="仿宋_GB2312" w:hAnsi="仿宋_GB2312" w:eastAsia="仿宋_GB2312" w:cs="仿宋_GB2312"/>
          <w:b w:val="0"/>
          <w:bCs/>
          <w:color w:val="auto"/>
          <w:kern w:val="0"/>
          <w:sz w:val="24"/>
          <w:szCs w:val="24"/>
          <w:highlight w:val="none"/>
          <w:lang w:val="en-US" w:eastAsia="zh-CN" w:bidi="ar-SA"/>
        </w:rPr>
        <w:t>身份证号</w:t>
      </w:r>
      <w:r>
        <w:rPr>
          <w:rFonts w:hint="eastAsia" w:ascii="仿宋_GB2312" w:hAnsi="仿宋_GB2312" w:eastAsia="仿宋_GB2312" w:cs="仿宋_GB2312"/>
          <w:bCs/>
          <w:color w:val="auto"/>
          <w:kern w:val="0"/>
          <w:sz w:val="24"/>
          <w:szCs w:val="24"/>
          <w:highlight w:val="none"/>
        </w:rPr>
        <w:t>：</w:t>
      </w:r>
      <w:r>
        <w:rPr>
          <w:rFonts w:hint="eastAsia" w:ascii="仿宋_GB2312" w:hAnsi="仿宋_GB2312" w:eastAsia="仿宋_GB2312" w:cs="仿宋_GB2312"/>
          <w:bCs/>
          <w:color w:val="auto"/>
          <w:kern w:val="0"/>
          <w:sz w:val="24"/>
          <w:szCs w:val="24"/>
          <w:highlight w:val="none"/>
          <w:u w:val="single"/>
        </w:rPr>
        <w:tab/>
      </w:r>
      <w:r>
        <w:rPr>
          <w:rFonts w:hint="eastAsia" w:ascii="仿宋_GB2312" w:hAnsi="仿宋_GB2312" w:eastAsia="仿宋_GB2312" w:cs="仿宋_GB2312"/>
          <w:bCs/>
          <w:color w:val="auto"/>
          <w:kern w:val="0"/>
          <w:sz w:val="24"/>
          <w:szCs w:val="24"/>
          <w:highlight w:val="none"/>
          <w:u w:val="single"/>
        </w:rPr>
        <w:tab/>
      </w:r>
      <w:r>
        <w:rPr>
          <w:rFonts w:hint="eastAsia" w:ascii="仿宋_GB2312" w:hAnsi="仿宋_GB2312" w:eastAsia="仿宋_GB2312" w:cs="仿宋_GB2312"/>
          <w:bCs/>
          <w:color w:val="auto"/>
          <w:kern w:val="0"/>
          <w:sz w:val="24"/>
          <w:szCs w:val="24"/>
          <w:highlight w:val="none"/>
          <w:u w:val="single"/>
        </w:rPr>
        <w:tab/>
      </w:r>
    </w:p>
    <w:p>
      <w:pPr>
        <w:pageBreakBefore w:val="0"/>
        <w:kinsoku/>
        <w:wordWrap/>
        <w:overflowPunct/>
        <w:topLinePunct w:val="0"/>
        <w:bidi w:val="0"/>
        <w:spacing w:line="360" w:lineRule="auto"/>
        <w:ind w:firstLine="486" w:firstLineChars="200"/>
        <w:outlineLvl w:val="9"/>
        <w:rPr>
          <w:rFonts w:hint="eastAsia" w:ascii="仿宋_GB2312" w:hAnsi="仿宋_GB2312" w:eastAsia="仿宋_GB2312" w:cs="仿宋_GB2312"/>
          <w:b w:val="0"/>
          <w:bCs/>
          <w:color w:val="auto"/>
          <w:kern w:val="0"/>
          <w:sz w:val="24"/>
          <w:szCs w:val="24"/>
          <w:highlight w:val="none"/>
          <w:u w:val="single"/>
        </w:rPr>
      </w:pPr>
      <w:r>
        <w:rPr>
          <w:rFonts w:hint="eastAsia" w:ascii="仿宋_GB2312" w:hAnsi="仿宋_GB2312" w:eastAsia="仿宋_GB2312" w:cs="仿宋_GB2312"/>
          <w:b w:val="0"/>
          <w:bCs/>
          <w:color w:val="auto"/>
          <w:kern w:val="0"/>
          <w:sz w:val="24"/>
          <w:szCs w:val="24"/>
          <w:highlight w:val="none"/>
          <w:lang w:val="en-US" w:eastAsia="zh-CN" w:bidi="ar-SA"/>
        </w:rPr>
        <w:t>资质证书编号</w:t>
      </w:r>
      <w:r>
        <w:rPr>
          <w:rFonts w:hint="eastAsia" w:ascii="仿宋_GB2312" w:hAnsi="仿宋_GB2312" w:eastAsia="仿宋_GB2312" w:cs="仿宋_GB2312"/>
          <w:b w:val="0"/>
          <w:bCs/>
          <w:color w:val="auto"/>
          <w:kern w:val="0"/>
          <w:sz w:val="24"/>
          <w:szCs w:val="24"/>
          <w:highlight w:val="none"/>
        </w:rPr>
        <w:t>：</w:t>
      </w:r>
      <w:r>
        <w:rPr>
          <w:rFonts w:hint="eastAsia" w:ascii="仿宋_GB2312" w:hAnsi="仿宋_GB2312" w:eastAsia="仿宋_GB2312" w:cs="仿宋_GB2312"/>
          <w:b w:val="0"/>
          <w:bCs/>
          <w:color w:val="auto"/>
          <w:kern w:val="0"/>
          <w:sz w:val="24"/>
          <w:szCs w:val="24"/>
          <w:highlight w:val="none"/>
          <w:u w:val="single"/>
        </w:rPr>
        <w:tab/>
      </w:r>
      <w:r>
        <w:rPr>
          <w:rFonts w:hint="eastAsia" w:ascii="仿宋_GB2312" w:hAnsi="仿宋_GB2312" w:eastAsia="仿宋_GB2312" w:cs="仿宋_GB2312"/>
          <w:b w:val="0"/>
          <w:bCs/>
          <w:color w:val="auto"/>
          <w:kern w:val="0"/>
          <w:sz w:val="24"/>
          <w:szCs w:val="24"/>
          <w:highlight w:val="none"/>
          <w:u w:val="single"/>
        </w:rPr>
        <w:tab/>
      </w:r>
      <w:r>
        <w:rPr>
          <w:rFonts w:hint="eastAsia" w:ascii="仿宋_GB2312" w:hAnsi="仿宋_GB2312" w:eastAsia="仿宋_GB2312" w:cs="仿宋_GB2312"/>
          <w:b w:val="0"/>
          <w:bCs/>
          <w:color w:val="auto"/>
          <w:kern w:val="0"/>
          <w:sz w:val="24"/>
          <w:szCs w:val="24"/>
          <w:highlight w:val="none"/>
          <w:u w:val="single"/>
        </w:rPr>
        <w:tab/>
      </w:r>
      <w:r>
        <w:rPr>
          <w:rFonts w:hint="eastAsia" w:ascii="仿宋_GB2312" w:hAnsi="仿宋_GB2312" w:eastAsia="仿宋_GB2312" w:cs="仿宋_GB2312"/>
          <w:b w:val="0"/>
          <w:bCs/>
          <w:color w:val="auto"/>
          <w:kern w:val="0"/>
          <w:sz w:val="24"/>
          <w:szCs w:val="24"/>
          <w:highlight w:val="none"/>
          <w:u w:val="none"/>
          <w:lang w:val="en-US" w:eastAsia="zh-CN"/>
        </w:rPr>
        <w:t>签字样本：</w:t>
      </w:r>
      <w:r>
        <w:rPr>
          <w:rFonts w:hint="eastAsia" w:ascii="仿宋_GB2312" w:hAnsi="仿宋_GB2312" w:eastAsia="仿宋_GB2312" w:cs="仿宋_GB2312"/>
          <w:b w:val="0"/>
          <w:bCs/>
          <w:color w:val="auto"/>
          <w:kern w:val="0"/>
          <w:sz w:val="24"/>
          <w:szCs w:val="24"/>
          <w:highlight w:val="none"/>
        </w:rPr>
        <w:t>：</w:t>
      </w:r>
      <w:r>
        <w:rPr>
          <w:rFonts w:hint="eastAsia" w:ascii="仿宋_GB2312" w:hAnsi="仿宋_GB2312" w:eastAsia="仿宋_GB2312" w:cs="仿宋_GB2312"/>
          <w:b w:val="0"/>
          <w:bCs/>
          <w:color w:val="auto"/>
          <w:kern w:val="0"/>
          <w:sz w:val="24"/>
          <w:szCs w:val="24"/>
          <w:highlight w:val="none"/>
          <w:u w:val="single"/>
        </w:rPr>
        <w:tab/>
      </w:r>
      <w:r>
        <w:rPr>
          <w:rFonts w:hint="eastAsia" w:ascii="仿宋_GB2312" w:hAnsi="仿宋_GB2312" w:eastAsia="仿宋_GB2312" w:cs="仿宋_GB2312"/>
          <w:b w:val="0"/>
          <w:bCs/>
          <w:color w:val="auto"/>
          <w:kern w:val="0"/>
          <w:sz w:val="24"/>
          <w:szCs w:val="24"/>
          <w:highlight w:val="none"/>
          <w:u w:val="single"/>
        </w:rPr>
        <w:tab/>
      </w:r>
      <w:r>
        <w:rPr>
          <w:rFonts w:hint="eastAsia" w:ascii="仿宋_GB2312" w:hAnsi="仿宋_GB2312" w:eastAsia="仿宋_GB2312" w:cs="仿宋_GB2312"/>
          <w:b w:val="0"/>
          <w:bCs/>
          <w:color w:val="auto"/>
          <w:kern w:val="0"/>
          <w:sz w:val="24"/>
          <w:szCs w:val="24"/>
          <w:highlight w:val="none"/>
          <w:u w:val="single"/>
        </w:rPr>
        <w:tab/>
      </w:r>
      <w:r>
        <w:rPr>
          <w:rFonts w:hint="eastAsia" w:ascii="仿宋_GB2312" w:hAnsi="仿宋_GB2312" w:eastAsia="仿宋_GB2312" w:cs="仿宋_GB2312"/>
          <w:b w:val="0"/>
          <w:bCs/>
          <w:color w:val="auto"/>
          <w:kern w:val="0"/>
          <w:sz w:val="24"/>
          <w:szCs w:val="24"/>
          <w:highlight w:val="none"/>
          <w:u w:val="none"/>
          <w:lang w:eastAsia="zh-CN"/>
        </w:rPr>
        <w:t>（</w:t>
      </w:r>
      <w:r>
        <w:rPr>
          <w:rFonts w:hint="eastAsia" w:ascii="仿宋_GB2312" w:hAnsi="仿宋_GB2312" w:eastAsia="仿宋_GB2312" w:cs="仿宋_GB2312"/>
          <w:b w:val="0"/>
          <w:bCs w:val="0"/>
          <w:color w:val="auto"/>
          <w:kern w:val="0"/>
          <w:sz w:val="24"/>
          <w:szCs w:val="24"/>
          <w:highlight w:val="none"/>
          <w:lang w:val="en-US" w:eastAsia="zh-CN"/>
        </w:rPr>
        <w:t>授权委托书</w:t>
      </w:r>
      <w:r>
        <w:rPr>
          <w:rFonts w:hint="eastAsia" w:ascii="仿宋_GB2312" w:hAnsi="仿宋_GB2312" w:eastAsia="仿宋_GB2312" w:cs="仿宋_GB2312"/>
          <w:b w:val="0"/>
          <w:bCs/>
          <w:color w:val="auto"/>
          <w:kern w:val="0"/>
          <w:sz w:val="24"/>
          <w:szCs w:val="24"/>
          <w:highlight w:val="none"/>
        </w:rPr>
        <w:t>作为分包合同附件）。</w:t>
      </w:r>
    </w:p>
    <w:p>
      <w:pPr>
        <w:pageBreakBefore w:val="0"/>
        <w:kinsoku/>
        <w:wordWrap/>
        <w:overflowPunct/>
        <w:topLinePunct w:val="0"/>
        <w:bidi w:val="0"/>
        <w:spacing w:line="360" w:lineRule="auto"/>
        <w:ind w:firstLine="486" w:firstLineChars="200"/>
        <w:rPr>
          <w:rFonts w:hint="default" w:ascii="仿宋_GB2312" w:hAnsi="仿宋_GB2312" w:eastAsia="仿宋_GB2312" w:cs="仿宋_GB2312"/>
          <w:b w:val="0"/>
          <w:bCs w:val="0"/>
          <w:color w:val="auto"/>
          <w:kern w:val="2"/>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专职安全员</w:t>
      </w:r>
      <w:r>
        <w:rPr>
          <w:rFonts w:hint="eastAsia" w:ascii="仿宋_GB2312" w:hAnsi="仿宋_GB2312" w:eastAsia="仿宋_GB2312" w:cs="仿宋_GB2312"/>
          <w:color w:val="auto"/>
          <w:sz w:val="24"/>
          <w:szCs w:val="24"/>
          <w:highlight w:val="none"/>
        </w:rPr>
        <w:t>获得乙方的全权授权委托书，授权范围包</w:t>
      </w:r>
      <w:r>
        <w:rPr>
          <w:rFonts w:hint="eastAsia" w:ascii="仿宋_GB2312" w:hAnsi="仿宋_GB2312" w:eastAsia="仿宋_GB2312" w:cs="仿宋_GB2312"/>
          <w:color w:val="auto"/>
          <w:sz w:val="24"/>
          <w:szCs w:val="24"/>
          <w:highlight w:val="none"/>
          <w:lang w:val="en-US" w:eastAsia="zh-CN"/>
        </w:rPr>
        <w:t>括项目安全管理全部工作内容</w:t>
      </w:r>
      <w:r>
        <w:rPr>
          <w:rFonts w:hint="eastAsia" w:ascii="仿宋_GB2312" w:hAnsi="仿宋_GB2312" w:eastAsia="仿宋_GB2312" w:cs="仿宋_GB2312"/>
          <w:color w:val="auto"/>
          <w:sz w:val="24"/>
          <w:szCs w:val="24"/>
          <w:highlight w:val="none"/>
        </w:rPr>
        <w:t>。</w:t>
      </w:r>
    </w:p>
    <w:p>
      <w:pPr>
        <w:pageBreakBefore w:val="0"/>
        <w:numPr>
          <w:ilvl w:val="0"/>
          <w:numId w:val="0"/>
        </w:numPr>
        <w:kinsoku/>
        <w:wordWrap/>
        <w:overflowPunct/>
        <w:topLinePunct w:val="0"/>
        <w:bidi w:val="0"/>
        <w:spacing w:line="360" w:lineRule="auto"/>
        <w:ind w:left="426" w:leftChars="0"/>
        <w:outlineLvl w:val="3"/>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lang w:val="en-US" w:eastAsia="zh-CN"/>
        </w:rPr>
        <w:t>9.</w:t>
      </w:r>
      <w:r>
        <w:rPr>
          <w:rFonts w:hint="eastAsia" w:ascii="仿宋_GB2312" w:hAnsi="仿宋_GB2312" w:eastAsia="仿宋_GB2312" w:cs="仿宋_GB2312"/>
          <w:b/>
          <w:color w:val="auto"/>
          <w:kern w:val="0"/>
          <w:sz w:val="24"/>
          <w:szCs w:val="24"/>
          <w:highlight w:val="none"/>
        </w:rPr>
        <w:t>承包人的工作</w:t>
      </w:r>
    </w:p>
    <w:p>
      <w:pPr>
        <w:pageBreakBefore w:val="0"/>
        <w:kinsoku/>
        <w:wordWrap/>
        <w:overflowPunct/>
        <w:topLinePunct w:val="0"/>
        <w:bidi w:val="0"/>
        <w:spacing w:line="360" w:lineRule="auto"/>
        <w:ind w:firstLine="43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.1 承包人应完成下列工作：</w:t>
      </w:r>
    </w:p>
    <w:p>
      <w:pPr>
        <w:pageBreakBefore w:val="0"/>
        <w:kinsoku/>
        <w:wordWrap/>
        <w:overflowPunct/>
        <w:topLinePunct w:val="0"/>
        <w:bidi w:val="0"/>
        <w:spacing w:line="360" w:lineRule="auto"/>
        <w:ind w:firstLine="435"/>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（1）协助分包人提供施工场地和施工所需的证件、批件的名称和完成时间：</w:t>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u w:val="single"/>
        </w:rPr>
        <w:t xml:space="preserve">进场前7天内 </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rPr>
        <w:tab/>
      </w:r>
    </w:p>
    <w:p>
      <w:pPr>
        <w:pageBreakBefore w:val="0"/>
        <w:kinsoku/>
        <w:wordWrap/>
        <w:overflowPunct/>
        <w:topLinePunct w:val="0"/>
        <w:bidi w:val="0"/>
        <w:spacing w:line="360" w:lineRule="auto"/>
        <w:ind w:firstLine="435"/>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（2）组织分包人参加发包人会审图纸的时间：</w:t>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u w:val="single"/>
        </w:rPr>
        <w:t xml:space="preserve">按发包人通知的时间  </w:t>
      </w:r>
      <w:r>
        <w:rPr>
          <w:rFonts w:hint="eastAsia" w:ascii="仿宋_GB2312" w:hAnsi="仿宋_GB2312" w:eastAsia="仿宋_GB2312" w:cs="仿宋_GB2312"/>
          <w:color w:val="auto"/>
          <w:sz w:val="24"/>
          <w:szCs w:val="24"/>
          <w:highlight w:val="none"/>
        </w:rPr>
        <w:t>。</w:t>
      </w:r>
    </w:p>
    <w:p>
      <w:pPr>
        <w:pageBreakBefore w:val="0"/>
        <w:kinsoku/>
        <w:wordWrap/>
        <w:overflowPunct/>
        <w:topLinePunct w:val="0"/>
        <w:bidi w:val="0"/>
        <w:spacing w:line="360" w:lineRule="auto"/>
        <w:ind w:firstLine="43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向分包人进行设计图纸交底的时间：</w:t>
      </w:r>
      <w:r>
        <w:rPr>
          <w:rFonts w:hint="eastAsia" w:ascii="仿宋_GB2312" w:hAnsi="仿宋_GB2312" w:eastAsia="仿宋_GB2312" w:cs="仿宋_GB2312"/>
          <w:color w:val="auto"/>
          <w:sz w:val="24"/>
          <w:szCs w:val="24"/>
          <w:highlight w:val="none"/>
          <w:u w:val="single"/>
        </w:rPr>
        <w:t xml:space="preserve">进场前7天内  </w:t>
      </w:r>
      <w:r>
        <w:rPr>
          <w:rFonts w:hint="eastAsia" w:ascii="仿宋_GB2312" w:hAnsi="仿宋_GB2312" w:eastAsia="仿宋_GB2312" w:cs="仿宋_GB2312"/>
          <w:color w:val="auto"/>
          <w:sz w:val="24"/>
          <w:szCs w:val="24"/>
          <w:highlight w:val="none"/>
        </w:rPr>
        <w:t>。</w:t>
      </w:r>
    </w:p>
    <w:p>
      <w:pPr>
        <w:pageBreakBefore w:val="0"/>
        <w:kinsoku/>
        <w:wordWrap/>
        <w:overflowPunct/>
        <w:topLinePunct w:val="0"/>
        <w:bidi w:val="0"/>
        <w:spacing w:line="360" w:lineRule="auto"/>
        <w:ind w:firstLine="435"/>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（3）承包人为本分包工程的实施提供的机械设备和（或）其他设施（如有时），及费用承担：</w:t>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u w:val="single"/>
          <w:lang w:val="en-US" w:eastAsia="zh-CN"/>
        </w:rPr>
        <w:t>由分包人承担</w:t>
      </w:r>
    </w:p>
    <w:p>
      <w:pPr>
        <w:pageBreakBefore w:val="0"/>
        <w:kinsoku/>
        <w:wordWrap/>
        <w:overflowPunct/>
        <w:topLinePunct w:val="0"/>
        <w:bidi w:val="0"/>
        <w:spacing w:line="360" w:lineRule="auto"/>
        <w:ind w:firstLine="43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（6）双方约定承包人应做的其它工作：</w:t>
      </w:r>
      <w:r>
        <w:rPr>
          <w:rFonts w:hint="eastAsia" w:ascii="仿宋_GB2312" w:hAnsi="仿宋_GB2312" w:eastAsia="仿宋_GB2312" w:cs="仿宋_GB2312"/>
          <w:color w:val="auto"/>
          <w:sz w:val="24"/>
          <w:szCs w:val="24"/>
          <w:highlight w:val="none"/>
          <w:u w:val="single"/>
        </w:rPr>
        <w:t xml:space="preserve">  分包人应配合完成甲方</w:t>
      </w:r>
      <w:r>
        <w:rPr>
          <w:rFonts w:hint="eastAsia" w:ascii="仿宋_GB2312" w:hAnsi="仿宋_GB2312" w:eastAsia="仿宋_GB2312" w:cs="仿宋_GB2312"/>
          <w:color w:val="auto"/>
          <w:sz w:val="24"/>
          <w:szCs w:val="24"/>
          <w:highlight w:val="none"/>
          <w:u w:val="single"/>
          <w:lang w:val="en-US" w:eastAsia="zh-CN"/>
        </w:rPr>
        <w:t>安排</w:t>
      </w:r>
      <w:r>
        <w:rPr>
          <w:rFonts w:hint="eastAsia" w:ascii="仿宋_GB2312" w:hAnsi="仿宋_GB2312" w:eastAsia="仿宋_GB2312" w:cs="仿宋_GB2312"/>
          <w:color w:val="auto"/>
          <w:sz w:val="24"/>
          <w:szCs w:val="24"/>
          <w:highlight w:val="none"/>
          <w:u w:val="single"/>
        </w:rPr>
        <w:t xml:space="preserve">的临时性任务 </w:t>
      </w:r>
      <w:r>
        <w:rPr>
          <w:rFonts w:hint="eastAsia" w:ascii="仿宋_GB2312" w:hAnsi="仿宋_GB2312" w:eastAsia="仿宋_GB2312" w:cs="仿宋_GB2312"/>
          <w:color w:val="auto"/>
          <w:sz w:val="24"/>
          <w:szCs w:val="24"/>
          <w:highlight w:val="none"/>
        </w:rPr>
        <w:t xml:space="preserve"> </w:t>
      </w:r>
    </w:p>
    <w:p>
      <w:pPr>
        <w:pageBreakBefore w:val="0"/>
        <w:kinsoku/>
        <w:wordWrap/>
        <w:overflowPunct/>
        <w:topLinePunct w:val="0"/>
        <w:bidi w:val="0"/>
        <w:spacing w:line="360" w:lineRule="auto"/>
        <w:ind w:firstLine="486" w:firstLineChars="200"/>
        <w:outlineLvl w:val="3"/>
        <w:rPr>
          <w:rFonts w:hint="eastAsia" w:ascii="仿宋_GB2312" w:hAnsi="仿宋" w:eastAsia="仿宋_GB2312"/>
          <w:b/>
          <w:color w:val="auto"/>
          <w:kern w:val="0"/>
          <w:sz w:val="24"/>
          <w:szCs w:val="24"/>
          <w:highlight w:val="none"/>
        </w:rPr>
      </w:pPr>
      <w:bookmarkStart w:id="766" w:name="_Toc11922780"/>
      <w:bookmarkStart w:id="767" w:name="_Toc11922687"/>
      <w:r>
        <w:rPr>
          <w:rFonts w:hint="eastAsia" w:ascii="仿宋_GB2312" w:hAnsi="仿宋" w:eastAsia="仿宋_GB2312"/>
          <w:b/>
          <w:color w:val="auto"/>
          <w:kern w:val="0"/>
          <w:sz w:val="24"/>
          <w:szCs w:val="24"/>
          <w:highlight w:val="none"/>
        </w:rPr>
        <w:t>10．分包人的工作</w:t>
      </w:r>
      <w:bookmarkEnd w:id="766"/>
      <w:bookmarkEnd w:id="767"/>
    </w:p>
    <w:p>
      <w:pPr>
        <w:pageBreakBefore w:val="0"/>
        <w:kinsoku/>
        <w:wordWrap/>
        <w:overflowPunct/>
        <w:topLinePunct w:val="0"/>
        <w:bidi w:val="0"/>
        <w:spacing w:line="360" w:lineRule="auto"/>
        <w:ind w:firstLine="729" w:firstLineChars="300"/>
        <w:rPr>
          <w:rFonts w:ascii="仿宋_GB2312" w:hAnsi="仿宋" w:eastAsia="仿宋_GB2312"/>
          <w:color w:val="auto"/>
          <w:sz w:val="24"/>
          <w:szCs w:val="24"/>
          <w:highlight w:val="none"/>
        </w:rPr>
      </w:pPr>
      <w:r>
        <w:rPr>
          <w:rFonts w:ascii="仿宋_GB2312" w:hAnsi="仿宋" w:eastAsia="仿宋_GB2312"/>
          <w:color w:val="auto"/>
          <w:sz w:val="24"/>
          <w:szCs w:val="24"/>
          <w:highlight w:val="none"/>
        </w:rPr>
        <w:t xml:space="preserve">10.1 </w:t>
      </w:r>
      <w:r>
        <w:rPr>
          <w:rFonts w:hint="eastAsia" w:ascii="仿宋_GB2312" w:hAnsi="仿宋" w:eastAsia="仿宋_GB2312"/>
          <w:color w:val="auto"/>
          <w:sz w:val="24"/>
          <w:szCs w:val="24"/>
          <w:highlight w:val="none"/>
        </w:rPr>
        <w:t>分包人应完成下列工作：</w:t>
      </w:r>
    </w:p>
    <w:p>
      <w:pPr>
        <w:pageBreakBefore w:val="0"/>
        <w:kinsoku/>
        <w:wordWrap/>
        <w:overflowPunct/>
        <w:topLinePunct w:val="0"/>
        <w:bidi w:val="0"/>
        <w:spacing w:line="360" w:lineRule="auto"/>
        <w:ind w:firstLine="729" w:firstLineChars="300"/>
        <w:rPr>
          <w:rFonts w:ascii="仿宋_GB2312" w:hAnsi="仿宋" w:eastAsia="仿宋_GB2312"/>
          <w:color w:val="auto"/>
          <w:sz w:val="24"/>
          <w:szCs w:val="24"/>
          <w:highlight w:val="none"/>
          <w:u w:val="single"/>
        </w:rPr>
      </w:pPr>
      <w:r>
        <w:rPr>
          <w:rFonts w:hint="eastAsia" w:ascii="仿宋_GB2312" w:hAnsi="仿宋" w:eastAsia="仿宋_GB2312"/>
          <w:color w:val="auto"/>
          <w:sz w:val="24"/>
          <w:szCs w:val="24"/>
          <w:highlight w:val="none"/>
        </w:rPr>
        <w:t>（2）需完成的设计内容和提交时间：</w:t>
      </w:r>
      <w:r>
        <w:rPr>
          <w:rFonts w:ascii="仿宋_GB2312" w:hAnsi="仿宋" w:eastAsia="仿宋_GB2312"/>
          <w:color w:val="auto"/>
          <w:sz w:val="24"/>
          <w:szCs w:val="24"/>
          <w:highlight w:val="none"/>
          <w:u w:val="single"/>
        </w:rPr>
        <w:tab/>
      </w:r>
      <w:r>
        <w:rPr>
          <w:rFonts w:ascii="仿宋_GB2312" w:hAnsi="仿宋" w:eastAsia="仿宋_GB2312"/>
          <w:color w:val="auto"/>
          <w:sz w:val="24"/>
          <w:szCs w:val="24"/>
          <w:highlight w:val="none"/>
          <w:u w:val="single"/>
        </w:rPr>
        <w:tab/>
      </w:r>
      <w:r>
        <w:rPr>
          <w:rFonts w:hint="eastAsia" w:ascii="仿宋_GB2312" w:hAnsi="仿宋" w:eastAsia="仿宋_GB2312"/>
          <w:color w:val="auto"/>
          <w:sz w:val="24"/>
          <w:szCs w:val="24"/>
          <w:highlight w:val="none"/>
          <w:u w:val="single"/>
          <w:lang w:val="en-US" w:eastAsia="zh-CN"/>
        </w:rPr>
        <w:t>/</w:t>
      </w:r>
      <w:r>
        <w:rPr>
          <w:rFonts w:ascii="仿宋_GB2312" w:hAnsi="仿宋" w:eastAsia="仿宋_GB2312"/>
          <w:color w:val="auto"/>
          <w:sz w:val="24"/>
          <w:szCs w:val="24"/>
          <w:highlight w:val="none"/>
          <w:u w:val="single"/>
        </w:rPr>
        <w:tab/>
      </w:r>
    </w:p>
    <w:p>
      <w:pPr>
        <w:pageBreakBefore w:val="0"/>
        <w:kinsoku/>
        <w:wordWrap/>
        <w:overflowPunct/>
        <w:topLinePunct w:val="0"/>
        <w:bidi w:val="0"/>
        <w:spacing w:line="360" w:lineRule="auto"/>
        <w:ind w:firstLine="729" w:firstLineChars="3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（3）分包人应在本合同签订生效后</w:t>
      </w:r>
      <w:r>
        <w:rPr>
          <w:rFonts w:ascii="仿宋_GB2312" w:hAnsi="仿宋" w:eastAsia="仿宋_GB2312"/>
          <w:color w:val="auto"/>
          <w:sz w:val="24"/>
          <w:szCs w:val="24"/>
          <w:highlight w:val="none"/>
          <w:u w:val="single"/>
        </w:rPr>
        <w:tab/>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u w:val="single"/>
          <w:lang w:val="en-US" w:eastAsia="zh-CN"/>
        </w:rPr>
        <w:t>3</w:t>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rPr>
        <w:t>天内向项目经理提交分包工程总体进度计划。分包人向承包人提交年、季度、月度、周工程进度计划及相应的进度统计报表时间为：年计划为每年</w:t>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u w:val="single"/>
          <w:lang w:val="en-US" w:eastAsia="zh-CN"/>
        </w:rPr>
        <w:t>/</w:t>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rPr>
        <w:t>月</w:t>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u w:val="single"/>
          <w:lang w:val="en-US" w:eastAsia="zh-CN"/>
        </w:rPr>
        <w:t>/</w:t>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rPr>
        <w:t>日前，季度计划为上季度</w:t>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u w:val="single"/>
          <w:lang w:val="en-US" w:eastAsia="zh-CN"/>
        </w:rPr>
        <w:t>/</w:t>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rPr>
        <w:t>天前，月度计划为上月</w:t>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u w:val="single"/>
          <w:lang w:val="en-US" w:eastAsia="zh-CN"/>
        </w:rPr>
        <w:t>20</w:t>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rPr>
        <w:t>日前，周计划为上周最后一天前。</w:t>
      </w:r>
    </w:p>
    <w:p>
      <w:pPr>
        <w:pageBreakBefore w:val="0"/>
        <w:kinsoku/>
        <w:wordWrap/>
        <w:overflowPunct/>
        <w:topLinePunct w:val="0"/>
        <w:bidi w:val="0"/>
        <w:spacing w:line="360" w:lineRule="auto"/>
        <w:ind w:firstLine="729" w:firstLineChars="300"/>
        <w:rPr>
          <w:rFonts w:ascii="仿宋_GB2312" w:hAnsi="仿宋" w:eastAsia="仿宋_GB2312"/>
          <w:color w:val="auto"/>
          <w:sz w:val="24"/>
          <w:szCs w:val="24"/>
          <w:highlight w:val="none"/>
          <w:u w:val="single"/>
        </w:rPr>
      </w:pPr>
      <w:bookmarkStart w:id="768" w:name="_Toc31587"/>
      <w:bookmarkStart w:id="769" w:name="_Toc12464"/>
      <w:bookmarkStart w:id="770" w:name="_Toc27647"/>
      <w:bookmarkStart w:id="771" w:name="_Toc11922688"/>
      <w:bookmarkStart w:id="772" w:name="_Toc31014"/>
      <w:bookmarkStart w:id="773" w:name="_Toc12923"/>
      <w:bookmarkStart w:id="774" w:name="_Toc3750_WPSOffice_Level2"/>
      <w:bookmarkStart w:id="775" w:name="_Toc11704"/>
      <w:bookmarkStart w:id="776" w:name="_Toc11177"/>
      <w:bookmarkStart w:id="777" w:name="_Toc10872"/>
      <w:bookmarkStart w:id="778" w:name="_Toc10155"/>
      <w:bookmarkStart w:id="779" w:name="_Toc24084"/>
      <w:bookmarkStart w:id="780" w:name="_Toc24263"/>
      <w:bookmarkStart w:id="781" w:name="_Toc357"/>
      <w:bookmarkStart w:id="782" w:name="_Toc7739"/>
      <w:bookmarkStart w:id="783" w:name="_Toc17481"/>
      <w:bookmarkStart w:id="784" w:name="_Toc11922693"/>
      <w:bookmarkStart w:id="785" w:name="_Toc19254"/>
      <w:bookmarkStart w:id="786" w:name="_Toc5600_WPSOffice_Level2"/>
      <w:r>
        <w:rPr>
          <w:rFonts w:hint="eastAsia" w:ascii="仿宋_GB2312" w:hAnsi="仿宋" w:eastAsia="仿宋_GB2312"/>
          <w:color w:val="auto"/>
          <w:sz w:val="24"/>
          <w:szCs w:val="24"/>
          <w:highlight w:val="none"/>
        </w:rPr>
        <w:t>承包人批准工程进度计划的时间：</w:t>
      </w:r>
      <w:r>
        <w:rPr>
          <w:rFonts w:hint="eastAsia" w:ascii="仿宋_GB2312" w:hAnsi="仿宋" w:eastAsia="仿宋_GB2312"/>
          <w:color w:val="auto"/>
          <w:sz w:val="24"/>
          <w:szCs w:val="24"/>
          <w:highlight w:val="none"/>
          <w:u w:val="single"/>
        </w:rPr>
        <w:t xml:space="preserve">   分包人提交后7天内     </w:t>
      </w:r>
    </w:p>
    <w:p>
      <w:pPr>
        <w:pageBreakBefore w:val="0"/>
        <w:kinsoku/>
        <w:wordWrap/>
        <w:overflowPunct/>
        <w:topLinePunct w:val="0"/>
        <w:bidi w:val="0"/>
        <w:spacing w:line="360" w:lineRule="auto"/>
        <w:ind w:firstLine="486"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（4）向承包人提交施工组织设计的时间：开工日期前</w:t>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u w:val="single"/>
          <w:lang w:val="en-US" w:eastAsia="zh-CN"/>
        </w:rPr>
        <w:t>7</w:t>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rPr>
        <w:t>天；</w:t>
      </w:r>
    </w:p>
    <w:p>
      <w:pPr>
        <w:pageBreakBefore w:val="0"/>
        <w:kinsoku/>
        <w:wordWrap/>
        <w:overflowPunct/>
        <w:topLinePunct w:val="0"/>
        <w:bidi w:val="0"/>
        <w:spacing w:line="360" w:lineRule="auto"/>
        <w:ind w:firstLine="729" w:firstLineChars="300"/>
        <w:rPr>
          <w:rFonts w:hint="eastAsia" w:ascii="仿宋_GB2312" w:hAnsi="仿宋_GB2312" w:eastAsia="仿宋_GB2312" w:cs="仿宋_GB2312"/>
          <w:color w:val="auto"/>
          <w:sz w:val="24"/>
          <w:szCs w:val="24"/>
          <w:highlight w:val="none"/>
        </w:rPr>
      </w:pPr>
      <w:r>
        <w:rPr>
          <w:rFonts w:hint="eastAsia" w:ascii="仿宋_GB2312" w:hAnsi="仿宋" w:eastAsia="仿宋_GB2312"/>
          <w:color w:val="auto"/>
          <w:sz w:val="24"/>
          <w:szCs w:val="24"/>
          <w:highlight w:val="none"/>
        </w:rPr>
        <w:t xml:space="preserve">   承包人批准施工组织设计的时间：按公司相关要求；</w:t>
      </w:r>
    </w:p>
    <w:p>
      <w:pPr>
        <w:pageBreakBefore w:val="0"/>
        <w:kinsoku/>
        <w:wordWrap/>
        <w:overflowPunct/>
        <w:topLinePunct w:val="0"/>
        <w:bidi w:val="0"/>
        <w:spacing w:line="360" w:lineRule="auto"/>
        <w:ind w:firstLine="486" w:firstLineChars="200"/>
        <w:rPr>
          <w:rFonts w:hint="eastAsia" w:ascii="仿宋_GB2312" w:hAnsi="仿宋_GB2312" w:eastAsia="仿宋_GB2312" w:cs="仿宋_GB2312"/>
          <w:b/>
          <w:bCs/>
          <w:color w:val="auto"/>
          <w:szCs w:val="24"/>
          <w:highlight w:val="none"/>
          <w:u w:val="singl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）已完工程成品保护的特殊要求及费用承担：</w:t>
      </w:r>
      <w:r>
        <w:rPr>
          <w:rFonts w:hint="eastAsia" w:ascii="仿宋_GB2312" w:hAnsi="仿宋_GB2312" w:eastAsia="仿宋_GB2312" w:cs="仿宋_GB2312"/>
          <w:color w:val="auto"/>
          <w:sz w:val="24"/>
          <w:szCs w:val="24"/>
          <w:highlight w:val="none"/>
          <w:u w:val="single"/>
        </w:rPr>
        <w:t>分包人确保竣工验收及相应质量保修，成品保护措施等，费用均由分包人承担。</w:t>
      </w:r>
    </w:p>
    <w:p>
      <w:pPr>
        <w:pageBreakBefore w:val="0"/>
        <w:kinsoku/>
        <w:wordWrap/>
        <w:overflowPunct/>
        <w:topLinePunct w:val="0"/>
        <w:bidi w:val="0"/>
        <w:spacing w:line="360" w:lineRule="auto"/>
        <w:ind w:left="0" w:leftChars="0" w:firstLine="0" w:firstLineChars="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rPr>
        <w:t xml:space="preserve">  </w:t>
      </w:r>
      <w:r>
        <w:rPr>
          <w:rFonts w:hint="eastAsia" w:ascii="仿宋_GB2312" w:hAnsi="仿宋_GB2312" w:eastAsia="仿宋_GB2312" w:cs="仿宋_GB2312"/>
          <w:bCs/>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9</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承包范围内工作完成后3个月以内，</w:t>
      </w:r>
      <w:r>
        <w:rPr>
          <w:rFonts w:hint="eastAsia" w:ascii="仿宋_GB2312" w:hAnsi="仿宋_GB2312" w:eastAsia="仿宋_GB2312" w:cs="仿宋_GB2312"/>
          <w:color w:val="auto"/>
          <w:sz w:val="24"/>
          <w:szCs w:val="24"/>
          <w:highlight w:val="none"/>
        </w:rPr>
        <w:t>竣工前按档案馆的归档要求向承包人提供分包工程的档案资料</w:t>
      </w:r>
      <w:r>
        <w:rPr>
          <w:rFonts w:hint="eastAsia" w:ascii="仿宋_GB2312" w:hAnsi="仿宋_GB2312" w:eastAsia="仿宋_GB2312" w:cs="仿宋_GB2312"/>
          <w:i/>
          <w:iCs/>
          <w:color w:val="auto"/>
          <w:sz w:val="24"/>
          <w:szCs w:val="24"/>
          <w:highlight w:val="none"/>
          <w:u w:val="single"/>
        </w:rPr>
        <w:tab/>
      </w:r>
      <w:r>
        <w:rPr>
          <w:rFonts w:hint="eastAsia" w:ascii="仿宋_GB2312" w:hAnsi="仿宋_GB2312" w:eastAsia="仿宋_GB2312" w:cs="仿宋_GB2312"/>
          <w:i/>
          <w:iCs/>
          <w:color w:val="auto"/>
          <w:sz w:val="24"/>
          <w:szCs w:val="24"/>
          <w:highlight w:val="none"/>
          <w:u w:val="single"/>
        </w:rPr>
        <w:t xml:space="preserve">  </w:t>
      </w:r>
      <w:r>
        <w:rPr>
          <w:rFonts w:hint="eastAsia" w:ascii="仿宋_GB2312" w:hAnsi="仿宋_GB2312" w:eastAsia="仿宋_GB2312" w:cs="仿宋_GB2312"/>
          <w:i/>
          <w:iCs/>
          <w:color w:val="auto"/>
          <w:sz w:val="24"/>
          <w:szCs w:val="24"/>
          <w:highlight w:val="none"/>
          <w:u w:val="single"/>
          <w:lang w:val="en-US" w:eastAsia="zh-CN"/>
        </w:rPr>
        <w:t>2</w:t>
      </w:r>
      <w:r>
        <w:rPr>
          <w:rFonts w:hint="eastAsia" w:ascii="仿宋_GB2312" w:hAnsi="仿宋_GB2312" w:eastAsia="仿宋_GB2312" w:cs="仿宋_GB2312"/>
          <w:i/>
          <w:iCs/>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套；</w:t>
      </w:r>
    </w:p>
    <w:p>
      <w:pPr>
        <w:pageBreakBefore w:val="0"/>
        <w:kinsoku/>
        <w:wordWrap/>
        <w:overflowPunct/>
        <w:topLinePunct w:val="0"/>
        <w:bidi w:val="0"/>
        <w:spacing w:line="360" w:lineRule="auto"/>
        <w:ind w:firstLine="486" w:firstLineChars="200"/>
        <w:outlineLvl w:val="9"/>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10.3</w:t>
      </w:r>
      <w:r>
        <w:rPr>
          <w:rFonts w:hint="eastAsia" w:ascii="仿宋_GB2312" w:hAnsi="仿宋_GB2312" w:eastAsia="仿宋_GB2312" w:cs="仿宋_GB2312"/>
          <w:b w:val="0"/>
          <w:bCs w:val="0"/>
          <w:color w:val="auto"/>
          <w:sz w:val="24"/>
          <w:szCs w:val="24"/>
          <w:highlight w:val="none"/>
        </w:rPr>
        <w:t>分包人委派的担任驻工地履行本合同的结算管理工作代表为：</w:t>
      </w:r>
      <w:r>
        <w:rPr>
          <w:rFonts w:hint="eastAsia" w:ascii="仿宋_GB2312" w:hAnsi="仿宋_GB2312" w:eastAsia="仿宋_GB2312" w:cs="仿宋_GB2312"/>
          <w:b w:val="0"/>
          <w:bCs w:val="0"/>
          <w:color w:val="auto"/>
          <w:sz w:val="24"/>
          <w:szCs w:val="24"/>
          <w:highlight w:val="none"/>
          <w:u w:val="single"/>
        </w:rPr>
        <w:t xml:space="preserve">        </w:t>
      </w:r>
      <w:r>
        <w:rPr>
          <w:rFonts w:hint="eastAsia" w:ascii="仿宋_GB2312" w:hAnsi="仿宋_GB2312" w:eastAsia="仿宋_GB2312" w:cs="仿宋_GB2312"/>
          <w:b w:val="0"/>
          <w:bCs w:val="0"/>
          <w:color w:val="auto"/>
          <w:sz w:val="24"/>
          <w:szCs w:val="24"/>
          <w:highlight w:val="none"/>
        </w:rPr>
        <w:t>， 职务：</w:t>
      </w:r>
      <w:r>
        <w:rPr>
          <w:rFonts w:hint="eastAsia" w:ascii="仿宋_GB2312" w:hAnsi="仿宋_GB2312" w:eastAsia="仿宋_GB2312" w:cs="仿宋_GB2312"/>
          <w:b w:val="0"/>
          <w:bCs w:val="0"/>
          <w:color w:val="auto"/>
          <w:sz w:val="24"/>
          <w:szCs w:val="24"/>
          <w:highlight w:val="none"/>
          <w:u w:val="single"/>
        </w:rPr>
        <w:t xml:space="preserve">  结算代表  </w:t>
      </w:r>
      <w:r>
        <w:rPr>
          <w:rFonts w:hint="eastAsia" w:ascii="仿宋_GB2312" w:hAnsi="仿宋_GB2312" w:eastAsia="仿宋_GB2312" w:cs="仿宋_GB2312"/>
          <w:b w:val="0"/>
          <w:bCs w:val="0"/>
          <w:color w:val="auto"/>
          <w:sz w:val="24"/>
          <w:szCs w:val="24"/>
          <w:highlight w:val="none"/>
          <w:u w:val="single"/>
          <w:lang w:eastAsia="zh-CN"/>
        </w:rPr>
        <w:t>，</w:t>
      </w:r>
      <w:r>
        <w:rPr>
          <w:rFonts w:hint="eastAsia" w:ascii="仿宋_GB2312" w:hAnsi="仿宋_GB2312" w:eastAsia="仿宋_GB2312" w:cs="仿宋_GB2312"/>
          <w:b w:val="0"/>
          <w:bCs w:val="0"/>
          <w:color w:val="auto"/>
          <w:kern w:val="0"/>
          <w:sz w:val="24"/>
          <w:szCs w:val="24"/>
          <w:highlight w:val="none"/>
          <w:u w:val="none"/>
          <w:lang w:val="en-US" w:eastAsia="zh-CN"/>
        </w:rPr>
        <w:t>签字样本</w:t>
      </w:r>
      <w:r>
        <w:rPr>
          <w:rFonts w:hint="eastAsia" w:ascii="仿宋_GB2312" w:hAnsi="仿宋_GB2312" w:eastAsia="仿宋_GB2312" w:cs="仿宋_GB2312"/>
          <w:b w:val="0"/>
          <w:bCs w:val="0"/>
          <w:color w:val="auto"/>
          <w:kern w:val="0"/>
          <w:sz w:val="24"/>
          <w:szCs w:val="24"/>
          <w:highlight w:val="none"/>
        </w:rPr>
        <w:t>：</w:t>
      </w:r>
      <w:r>
        <w:rPr>
          <w:rFonts w:hint="eastAsia" w:ascii="仿宋_GB2312" w:hAnsi="仿宋_GB2312" w:eastAsia="仿宋_GB2312" w:cs="仿宋_GB2312"/>
          <w:b w:val="0"/>
          <w:bCs w:val="0"/>
          <w:color w:val="auto"/>
          <w:kern w:val="0"/>
          <w:sz w:val="24"/>
          <w:szCs w:val="24"/>
          <w:highlight w:val="none"/>
          <w:u w:val="single"/>
        </w:rPr>
        <w:tab/>
      </w:r>
      <w:r>
        <w:rPr>
          <w:rFonts w:hint="eastAsia" w:ascii="仿宋_GB2312" w:hAnsi="仿宋_GB2312" w:eastAsia="仿宋_GB2312" w:cs="仿宋_GB2312"/>
          <w:b w:val="0"/>
          <w:bCs w:val="0"/>
          <w:color w:val="auto"/>
          <w:kern w:val="0"/>
          <w:sz w:val="24"/>
          <w:szCs w:val="24"/>
          <w:highlight w:val="none"/>
          <w:u w:val="single"/>
          <w:lang w:val="en-US" w:eastAsia="zh-CN"/>
        </w:rPr>
        <w:t xml:space="preserve">     </w:t>
      </w:r>
      <w:r>
        <w:rPr>
          <w:rFonts w:hint="eastAsia" w:ascii="仿宋_GB2312" w:hAnsi="仿宋_GB2312" w:eastAsia="仿宋_GB2312" w:cs="仿宋_GB2312"/>
          <w:b w:val="0"/>
          <w:bCs w:val="0"/>
          <w:color w:val="auto"/>
          <w:kern w:val="0"/>
          <w:sz w:val="24"/>
          <w:szCs w:val="24"/>
          <w:highlight w:val="none"/>
          <w:u w:val="single"/>
        </w:rPr>
        <w:tab/>
      </w:r>
      <w:r>
        <w:rPr>
          <w:rFonts w:hint="eastAsia" w:ascii="仿宋_GB2312" w:hAnsi="仿宋_GB2312" w:eastAsia="仿宋_GB2312" w:cs="仿宋_GB2312"/>
          <w:b w:val="0"/>
          <w:bCs w:val="0"/>
          <w:color w:val="auto"/>
          <w:kern w:val="0"/>
          <w:sz w:val="24"/>
          <w:szCs w:val="24"/>
          <w:highlight w:val="none"/>
          <w:u w:val="single"/>
        </w:rPr>
        <w:tab/>
      </w:r>
      <w:r>
        <w:rPr>
          <w:rFonts w:hint="eastAsia" w:ascii="仿宋_GB2312" w:hAnsi="仿宋_GB2312" w:eastAsia="仿宋_GB2312" w:cs="仿宋_GB2312"/>
          <w:b w:val="0"/>
          <w:bCs w:val="0"/>
          <w:color w:val="auto"/>
          <w:sz w:val="24"/>
          <w:szCs w:val="24"/>
          <w:highlight w:val="none"/>
        </w:rPr>
        <w:t>。获得分包人的全权授权委托书，授权范围包含工程量、中间计量、结算、费用等工作的签字及确认。</w:t>
      </w:r>
    </w:p>
    <w:p>
      <w:pPr>
        <w:pStyle w:val="5"/>
        <w:pageBreakBefore w:val="0"/>
        <w:kinsoku/>
        <w:wordWrap/>
        <w:overflowPunct/>
        <w:topLinePunct w:val="0"/>
        <w:bidi w:val="0"/>
        <w:spacing w:before="0" w:after="0" w:line="360" w:lineRule="auto"/>
        <w:ind w:firstLine="566" w:firstLineChars="200"/>
        <w:jc w:val="center"/>
        <w:rPr>
          <w:rFonts w:hint="eastAsia" w:ascii="黑体" w:hAnsi="黑体" w:eastAsia="黑体" w:cs="黑体"/>
          <w:b w:val="0"/>
          <w:color w:val="auto"/>
          <w:sz w:val="28"/>
          <w:szCs w:val="28"/>
          <w:highlight w:val="none"/>
        </w:rPr>
      </w:pPr>
      <w:r>
        <w:rPr>
          <w:rFonts w:hint="eastAsia" w:ascii="黑体" w:hAnsi="黑体" w:eastAsia="黑体" w:cs="黑体"/>
          <w:b w:val="0"/>
          <w:color w:val="auto"/>
          <w:sz w:val="28"/>
          <w:szCs w:val="28"/>
          <w:highlight w:val="none"/>
        </w:rPr>
        <w:t>三、工期</w:t>
      </w:r>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p>
      <w:pPr>
        <w:pageBreakBefore w:val="0"/>
        <w:kinsoku/>
        <w:wordWrap/>
        <w:overflowPunct/>
        <w:topLinePunct w:val="0"/>
        <w:bidi w:val="0"/>
        <w:spacing w:line="360" w:lineRule="auto"/>
        <w:ind w:firstLine="486" w:firstLineChars="200"/>
        <w:outlineLvl w:val="3"/>
        <w:rPr>
          <w:rFonts w:hint="eastAsia" w:ascii="仿宋_GB2312" w:hAnsi="仿宋" w:eastAsia="仿宋_GB2312" w:cs="仿宋"/>
          <w:b/>
          <w:color w:val="auto"/>
          <w:kern w:val="0"/>
          <w:sz w:val="24"/>
          <w:szCs w:val="24"/>
          <w:highlight w:val="none"/>
        </w:rPr>
      </w:pPr>
      <w:bookmarkStart w:id="787" w:name="_Toc11922689"/>
      <w:bookmarkStart w:id="788" w:name="_Toc11922782"/>
      <w:r>
        <w:rPr>
          <w:rFonts w:hint="eastAsia" w:ascii="仿宋_GB2312" w:hAnsi="仿宋" w:eastAsia="仿宋_GB2312" w:cs="仿宋"/>
          <w:b/>
          <w:color w:val="auto"/>
          <w:kern w:val="0"/>
          <w:sz w:val="24"/>
          <w:szCs w:val="24"/>
          <w:highlight w:val="none"/>
        </w:rPr>
        <w:t>14．工期延误</w:t>
      </w:r>
      <w:bookmarkEnd w:id="787"/>
      <w:bookmarkEnd w:id="788"/>
    </w:p>
    <w:p>
      <w:pPr>
        <w:pageBreakBefore w:val="0"/>
        <w:kinsoku/>
        <w:wordWrap/>
        <w:overflowPunct/>
        <w:topLinePunct w:val="0"/>
        <w:bidi w:val="0"/>
        <w:spacing w:line="360" w:lineRule="auto"/>
        <w:ind w:firstLine="435"/>
        <w:rPr>
          <w:rFonts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 xml:space="preserve">14.1 </w:t>
      </w:r>
      <w:r>
        <w:rPr>
          <w:rFonts w:hint="eastAsia" w:ascii="仿宋_GB2312" w:hAnsi="仿宋" w:eastAsia="仿宋_GB2312" w:cs="仿宋"/>
          <w:color w:val="auto"/>
          <w:sz w:val="24"/>
          <w:szCs w:val="24"/>
          <w:highlight w:val="none"/>
        </w:rPr>
        <w:t>双方约定工期顺延的其他情况：</w:t>
      </w:r>
    </w:p>
    <w:p>
      <w:pPr>
        <w:pageBreakBefore w:val="0"/>
        <w:kinsoku/>
        <w:wordWrap/>
        <w:overflowPunct/>
        <w:topLinePunct w:val="0"/>
        <w:bidi w:val="0"/>
        <w:spacing w:line="360" w:lineRule="auto"/>
        <w:ind w:firstLine="435"/>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（7）因发包人原因导致工期延误的其他情形：承包人视具体情况顺延工期。</w:t>
      </w:r>
    </w:p>
    <w:p>
      <w:pPr>
        <w:pageBreakBefore w:val="0"/>
        <w:kinsoku/>
        <w:wordWrap/>
        <w:overflowPunct/>
        <w:topLinePunct w:val="0"/>
        <w:bidi w:val="0"/>
        <w:spacing w:line="360" w:lineRule="auto"/>
        <w:ind w:firstLine="435"/>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14.3因分包人原因造成工期延误，逾期竣工违约金的计算方法为：因分包人原因造成工期延误按照</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500~1000</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元</w:t>
      </w:r>
      <w:r>
        <w:rPr>
          <w:rFonts w:ascii="仿宋_GB2312" w:hAnsi="仿宋" w:eastAsia="仿宋_GB2312" w:cs="仿宋"/>
          <w:color w:val="auto"/>
          <w:sz w:val="24"/>
          <w:szCs w:val="24"/>
          <w:highlight w:val="none"/>
        </w:rPr>
        <w:t>/</w:t>
      </w:r>
      <w:r>
        <w:rPr>
          <w:rFonts w:hint="eastAsia" w:ascii="仿宋_GB2312" w:hAnsi="仿宋" w:eastAsia="仿宋_GB2312" w:cs="仿宋"/>
          <w:color w:val="auto"/>
          <w:sz w:val="24"/>
          <w:szCs w:val="24"/>
          <w:highlight w:val="none"/>
        </w:rPr>
        <w:t>天向承包人支付违约金，且由分包人承担因此给承包人造成的全部损失，承发包人有权并勒令分包单位采取措施改正。</w:t>
      </w:r>
    </w:p>
    <w:p>
      <w:pPr>
        <w:pageBreakBefore w:val="0"/>
        <w:kinsoku/>
        <w:wordWrap/>
        <w:overflowPunct/>
        <w:topLinePunct w:val="0"/>
        <w:bidi w:val="0"/>
        <w:spacing w:line="360" w:lineRule="auto"/>
        <w:ind w:firstLine="435"/>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14.4由分包人恶意停工按照</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1000~2000</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元</w:t>
      </w:r>
      <w:r>
        <w:rPr>
          <w:rFonts w:ascii="仿宋_GB2312" w:hAnsi="仿宋" w:eastAsia="仿宋_GB2312" w:cs="仿宋"/>
          <w:color w:val="auto"/>
          <w:sz w:val="24"/>
          <w:szCs w:val="24"/>
          <w:highlight w:val="none"/>
        </w:rPr>
        <w:t>/</w:t>
      </w:r>
      <w:r>
        <w:rPr>
          <w:rFonts w:hint="eastAsia" w:ascii="仿宋_GB2312" w:hAnsi="仿宋" w:eastAsia="仿宋_GB2312" w:cs="仿宋"/>
          <w:color w:val="auto"/>
          <w:sz w:val="24"/>
          <w:szCs w:val="24"/>
          <w:highlight w:val="none"/>
        </w:rPr>
        <w:t>天向承包人支付违约金，由此造成的工期延误及损失由分包人承担相应的法律责任。</w:t>
      </w:r>
    </w:p>
    <w:p>
      <w:pPr>
        <w:pageBreakBefore w:val="0"/>
        <w:kinsoku/>
        <w:wordWrap/>
        <w:overflowPunct/>
        <w:topLinePunct w:val="0"/>
        <w:bidi w:val="0"/>
        <w:spacing w:line="360" w:lineRule="auto"/>
        <w:ind w:firstLine="435"/>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14.5因分包人原因导致工期延误或停工超过</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30</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天，承包人有权单方解除合同，并在</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15</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天内双方按经验收合格的已完工程进行结算，结算价款的</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90</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%作为双方的最终结算价，剩余</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10</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%价款作为分包人逾期完工的违约金。分包人逾期不办理结算的，视为分包人同意以承包人单方确定的结算价款的</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90</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%作为双方最终结算价。</w:t>
      </w:r>
    </w:p>
    <w:p>
      <w:pPr>
        <w:pageBreakBefore w:val="0"/>
        <w:kinsoku/>
        <w:wordWrap/>
        <w:overflowPunct/>
        <w:topLinePunct w:val="0"/>
        <w:bidi w:val="0"/>
        <w:spacing w:line="360" w:lineRule="auto"/>
        <w:ind w:firstLine="435"/>
        <w:outlineLvl w:val="3"/>
        <w:rPr>
          <w:rFonts w:ascii="仿宋_GB2312" w:hAnsi="仿宋" w:eastAsia="仿宋_GB2312" w:cs="仿宋"/>
          <w:b/>
          <w:bCs/>
          <w:color w:val="auto"/>
          <w:sz w:val="24"/>
          <w:szCs w:val="24"/>
          <w:highlight w:val="none"/>
        </w:rPr>
      </w:pPr>
      <w:r>
        <w:rPr>
          <w:rFonts w:hint="eastAsia" w:ascii="仿宋_GB2312" w:hAnsi="仿宋" w:eastAsia="仿宋_GB2312" w:cs="仿宋"/>
          <w:b/>
          <w:bCs/>
          <w:color w:val="auto"/>
          <w:sz w:val="24"/>
          <w:szCs w:val="24"/>
          <w:highlight w:val="none"/>
        </w:rPr>
        <w:t>15．暂停施工</w:t>
      </w:r>
    </w:p>
    <w:p>
      <w:pPr>
        <w:pageBreakBefore w:val="0"/>
        <w:kinsoku/>
        <w:wordWrap/>
        <w:overflowPunct/>
        <w:topLinePunct w:val="0"/>
        <w:bidi w:val="0"/>
        <w:spacing w:line="360" w:lineRule="auto"/>
        <w:ind w:firstLine="435"/>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15.2施工过程中，因建设单位、国家政策等原因，导致工程暂时停工，分包人自行安排劳务人员，妥善保管已进场的材料和机械设备，分包人在</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7</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日内提出工期顺延申请，经承包人书面确认后工期方可顺延，但不计算停工的相关费用（人工费、材料损失费、机械费、食宿费等），且合同单价不变；若分包人逾期提出工期顺延申请，视为分包方放弃工期顺延要求，工期不顺延。当工程具备复工条件时，分包人应在承包方指定期限内复工，若分包人无故拖延和拒绝复工，承包人有权解除合同。</w:t>
      </w:r>
    </w:p>
    <w:p>
      <w:pPr>
        <w:pageBreakBefore w:val="0"/>
        <w:kinsoku/>
        <w:wordWrap/>
        <w:overflowPunct/>
        <w:topLinePunct w:val="0"/>
        <w:bidi w:val="0"/>
        <w:spacing w:line="360" w:lineRule="auto"/>
        <w:ind w:firstLine="435"/>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15.3施工过程中，因建设单位、国家政策等原因，导致工程永久停工，双方终止履行合同，并根据双方确认的已完工程量和合同单价进行结算，不再计算其他任何费用。</w:t>
      </w:r>
    </w:p>
    <w:p>
      <w:pPr>
        <w:pStyle w:val="5"/>
        <w:pageBreakBefore w:val="0"/>
        <w:kinsoku/>
        <w:wordWrap/>
        <w:overflowPunct/>
        <w:topLinePunct w:val="0"/>
        <w:bidi w:val="0"/>
        <w:spacing w:before="0" w:after="0" w:line="360" w:lineRule="auto"/>
        <w:ind w:firstLine="566" w:firstLineChars="200"/>
        <w:jc w:val="center"/>
        <w:rPr>
          <w:rFonts w:hint="eastAsia" w:ascii="黑体" w:hAnsi="黑体" w:eastAsia="黑体" w:cs="黑体"/>
          <w:b w:val="0"/>
          <w:color w:val="auto"/>
          <w:sz w:val="28"/>
          <w:szCs w:val="28"/>
          <w:highlight w:val="none"/>
        </w:rPr>
      </w:pPr>
      <w:bookmarkStart w:id="789" w:name="_Toc29193"/>
      <w:bookmarkStart w:id="790" w:name="_Toc1796"/>
      <w:bookmarkStart w:id="791" w:name="_Toc5670"/>
      <w:bookmarkStart w:id="792" w:name="_Toc32290"/>
      <w:bookmarkStart w:id="793" w:name="_Toc18495"/>
      <w:bookmarkStart w:id="794" w:name="_Toc9650"/>
      <w:bookmarkStart w:id="795" w:name="_Toc28966"/>
      <w:bookmarkStart w:id="796" w:name="_Toc1699"/>
      <w:bookmarkStart w:id="797" w:name="_Toc16990"/>
      <w:bookmarkStart w:id="798" w:name="_Toc11922690"/>
      <w:bookmarkStart w:id="799" w:name="_Toc9441"/>
      <w:bookmarkStart w:id="800" w:name="_Toc16641"/>
      <w:bookmarkStart w:id="801" w:name="_Toc5858_WPSOffice_Level2"/>
      <w:bookmarkStart w:id="802" w:name="_Toc21498"/>
      <w:bookmarkStart w:id="803" w:name="_Toc21080"/>
      <w:r>
        <w:rPr>
          <w:rFonts w:hint="eastAsia" w:ascii="黑体" w:hAnsi="黑体" w:eastAsia="黑体" w:cs="黑体"/>
          <w:b w:val="0"/>
          <w:color w:val="auto"/>
          <w:sz w:val="28"/>
          <w:szCs w:val="28"/>
          <w:highlight w:val="none"/>
        </w:rPr>
        <w:t>四、质量与安全</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pPr>
        <w:pageBreakBefore w:val="0"/>
        <w:kinsoku/>
        <w:wordWrap/>
        <w:overflowPunct/>
        <w:topLinePunct w:val="0"/>
        <w:bidi w:val="0"/>
        <w:spacing w:line="360" w:lineRule="auto"/>
        <w:ind w:firstLine="486" w:firstLineChars="200"/>
        <w:outlineLvl w:val="3"/>
        <w:rPr>
          <w:rFonts w:hint="eastAsia" w:ascii="仿宋_GB2312" w:hAnsi="仿宋" w:eastAsia="仿宋_GB2312" w:cs="仿宋"/>
          <w:b/>
          <w:color w:val="auto"/>
          <w:kern w:val="0"/>
          <w:sz w:val="24"/>
          <w:szCs w:val="24"/>
          <w:highlight w:val="none"/>
        </w:rPr>
      </w:pPr>
      <w:bookmarkStart w:id="804" w:name="_Toc11922784"/>
      <w:bookmarkStart w:id="805" w:name="_Toc11922691"/>
      <w:r>
        <w:rPr>
          <w:rFonts w:hint="eastAsia" w:ascii="仿宋_GB2312" w:hAnsi="仿宋" w:eastAsia="仿宋_GB2312" w:cs="仿宋"/>
          <w:b/>
          <w:color w:val="auto"/>
          <w:kern w:val="0"/>
          <w:sz w:val="24"/>
          <w:szCs w:val="24"/>
          <w:highlight w:val="none"/>
        </w:rPr>
        <w:t>17．质量检查与验收</w:t>
      </w:r>
      <w:bookmarkEnd w:id="804"/>
      <w:bookmarkEnd w:id="805"/>
    </w:p>
    <w:p>
      <w:pPr>
        <w:pStyle w:val="20"/>
        <w:pageBreakBefore w:val="0"/>
        <w:shd w:val="clear" w:color="auto" w:fill="FFFFFF"/>
        <w:kinsoku/>
        <w:wordWrap/>
        <w:overflowPunct/>
        <w:topLinePunct w:val="0"/>
        <w:bidi w:val="0"/>
        <w:spacing w:line="360" w:lineRule="auto"/>
        <w:ind w:firstLine="465"/>
        <w:jc w:val="both"/>
        <w:rPr>
          <w:rFonts w:ascii="仿宋_GB2312" w:hAnsi="仿宋" w:eastAsia="仿宋_GB2312" w:cs="仿宋"/>
          <w:color w:val="auto"/>
          <w:highlight w:val="none"/>
        </w:rPr>
      </w:pPr>
      <w:r>
        <w:rPr>
          <w:rFonts w:ascii="仿宋_GB2312" w:hAnsi="仿宋" w:eastAsia="仿宋_GB2312" w:cs="仿宋"/>
          <w:color w:val="auto"/>
          <w:highlight w:val="none"/>
        </w:rPr>
        <w:t xml:space="preserve">17.1 </w:t>
      </w:r>
      <w:r>
        <w:rPr>
          <w:rFonts w:hint="eastAsia" w:ascii="仿宋_GB2312" w:hAnsi="仿宋" w:eastAsia="仿宋_GB2312" w:cs="仿宋"/>
          <w:color w:val="auto"/>
          <w:highlight w:val="none"/>
        </w:rPr>
        <w:t>(1)双方关于分包工程质量标准的约定：</w:t>
      </w:r>
      <w:r>
        <w:rPr>
          <w:rFonts w:hint="eastAsia" w:ascii="仿宋_GB2312" w:hAnsi="仿宋" w:eastAsia="仿宋_GB2312" w:cs="仿宋"/>
          <w:color w:val="auto"/>
          <w:highlight w:val="none"/>
          <w:u w:val="single"/>
        </w:rPr>
        <w:t xml:space="preserve"> 工程质量符合图纸设计要求、国家、行业及地方现行的相关标准及规范一次性验收合格</w:t>
      </w:r>
      <w:r>
        <w:rPr>
          <w:rFonts w:hint="eastAsia" w:ascii="仿宋_GB2312" w:hAnsi="仿宋" w:eastAsia="仿宋_GB2312" w:cs="仿宋"/>
          <w:color w:val="auto"/>
          <w:highlight w:val="none"/>
          <w:u w:val="single"/>
          <w:lang w:eastAsia="zh-CN"/>
        </w:rPr>
        <w:t>。</w:t>
      </w:r>
      <w:r>
        <w:rPr>
          <w:rFonts w:hint="eastAsia" w:ascii="仿宋_GB2312" w:hAnsi="仿宋" w:eastAsia="仿宋_GB2312" w:cs="仿宋"/>
          <w:color w:val="auto"/>
          <w:highlight w:val="none"/>
        </w:rPr>
        <w:t xml:space="preserve">           </w:t>
      </w:r>
    </w:p>
    <w:p>
      <w:pPr>
        <w:pStyle w:val="20"/>
        <w:pageBreakBefore w:val="0"/>
        <w:shd w:val="clear" w:color="auto" w:fill="FFFFFF"/>
        <w:kinsoku/>
        <w:wordWrap/>
        <w:overflowPunct/>
        <w:topLinePunct w:val="0"/>
        <w:bidi w:val="0"/>
        <w:spacing w:line="360" w:lineRule="auto"/>
        <w:ind w:firstLine="465"/>
        <w:jc w:val="both"/>
        <w:rPr>
          <w:rFonts w:ascii="仿宋_GB2312" w:hAnsi="仿宋" w:eastAsia="仿宋_GB2312" w:cs="仿宋"/>
          <w:color w:val="auto"/>
          <w:highlight w:val="none"/>
        </w:rPr>
      </w:pPr>
      <w:r>
        <w:rPr>
          <w:rFonts w:hint="eastAsia" w:ascii="仿宋_GB2312" w:hAnsi="仿宋" w:eastAsia="仿宋_GB2312" w:cs="仿宋"/>
          <w:color w:val="auto"/>
          <w:highlight w:val="none"/>
        </w:rPr>
        <w:t>(2)若因分包人原因造成工程质量不合格或达不到质量要求，返工工期不可顺延。承包人有权要求分包人限期整改，返工费用由分包人承担，并处罚款                              元，限期整改后仍然不能符合合同要求的，承包人有权解除合同，已完工程价款按</w:t>
      </w:r>
      <w:r>
        <w:rPr>
          <w:rFonts w:hint="eastAsia" w:ascii="仿宋_GB2312" w:hAnsi="仿宋" w:eastAsia="仿宋_GB2312" w:cs="仿宋"/>
          <w:color w:val="auto"/>
          <w:highlight w:val="none"/>
          <w:u w:val="single"/>
        </w:rPr>
        <w:t xml:space="preserve"> </w:t>
      </w:r>
      <w:r>
        <w:rPr>
          <w:rFonts w:hint="eastAsia" w:ascii="仿宋_GB2312" w:hAnsi="仿宋" w:eastAsia="仿宋_GB2312" w:cs="仿宋"/>
          <w:color w:val="auto"/>
          <w:highlight w:val="none"/>
          <w:u w:val="single"/>
          <w:lang w:val="en-US" w:eastAsia="zh-CN"/>
        </w:rPr>
        <w:t>80</w:t>
      </w:r>
      <w:r>
        <w:rPr>
          <w:rFonts w:hint="eastAsia" w:ascii="仿宋_GB2312" w:hAnsi="仿宋" w:eastAsia="仿宋_GB2312" w:cs="仿宋"/>
          <w:color w:val="auto"/>
          <w:highlight w:val="none"/>
          <w:u w:val="single"/>
        </w:rPr>
        <w:t xml:space="preserve"> </w:t>
      </w:r>
      <w:r>
        <w:rPr>
          <w:rFonts w:ascii="仿宋_GB2312" w:hAnsi="仿宋" w:eastAsia="仿宋_GB2312" w:cs="仿宋"/>
          <w:color w:val="auto"/>
          <w:highlight w:val="none"/>
        </w:rPr>
        <w:t>%</w:t>
      </w:r>
      <w:r>
        <w:rPr>
          <w:rFonts w:hint="eastAsia" w:ascii="仿宋_GB2312" w:hAnsi="仿宋" w:eastAsia="仿宋_GB2312" w:cs="仿宋"/>
          <w:color w:val="auto"/>
          <w:highlight w:val="none"/>
        </w:rPr>
        <w:t>进行结算，同时分包人承担由此对承包人造成的损失。</w:t>
      </w:r>
    </w:p>
    <w:p>
      <w:pPr>
        <w:pStyle w:val="20"/>
        <w:pageBreakBefore w:val="0"/>
        <w:shd w:val="clear" w:color="auto" w:fill="FFFFFF"/>
        <w:kinsoku/>
        <w:wordWrap/>
        <w:overflowPunct/>
        <w:topLinePunct w:val="0"/>
        <w:bidi w:val="0"/>
        <w:spacing w:line="360" w:lineRule="auto"/>
        <w:ind w:firstLine="465"/>
        <w:jc w:val="both"/>
        <w:rPr>
          <w:rFonts w:ascii="仿宋_GB2312" w:hAnsi="仿宋" w:eastAsia="仿宋_GB2312" w:cs="仿宋"/>
          <w:color w:val="auto"/>
          <w:highlight w:val="none"/>
        </w:rPr>
      </w:pPr>
      <w:r>
        <w:rPr>
          <w:rFonts w:ascii="仿宋_GB2312" w:hAnsi="仿宋" w:eastAsia="仿宋_GB2312" w:cs="仿宋"/>
          <w:color w:val="auto"/>
          <w:highlight w:val="none"/>
        </w:rPr>
        <w:t>17.</w:t>
      </w:r>
      <w:r>
        <w:rPr>
          <w:rFonts w:hint="eastAsia" w:ascii="仿宋_GB2312" w:hAnsi="仿宋" w:eastAsia="仿宋_GB2312" w:cs="仿宋"/>
          <w:color w:val="auto"/>
          <w:highlight w:val="none"/>
        </w:rPr>
        <w:t>5转序验收时，</w:t>
      </w:r>
      <w:r>
        <w:rPr>
          <w:rFonts w:hint="eastAsia" w:ascii="仿宋_GB2312" w:hAnsi="仿宋" w:eastAsia="仿宋_GB2312" w:cs="仿宋"/>
          <w:color w:val="auto"/>
          <w:highlight w:val="none"/>
          <w:u w:val="single"/>
        </w:rPr>
        <w:t xml:space="preserve">  </w:t>
      </w:r>
      <w:r>
        <w:rPr>
          <w:rFonts w:hint="eastAsia" w:ascii="仿宋_GB2312" w:hAnsi="仿宋" w:eastAsia="仿宋_GB2312" w:cs="仿宋"/>
          <w:color w:val="auto"/>
          <w:highlight w:val="none"/>
          <w:u w:val="single"/>
          <w:lang w:val="en-US" w:eastAsia="zh-CN"/>
        </w:rPr>
        <w:t>上道工序</w:t>
      </w:r>
      <w:r>
        <w:rPr>
          <w:rFonts w:hint="eastAsia" w:ascii="仿宋_GB2312" w:hAnsi="仿宋" w:eastAsia="仿宋_GB2312" w:cs="仿宋"/>
          <w:color w:val="auto"/>
          <w:highlight w:val="none"/>
          <w:u w:val="single"/>
        </w:rPr>
        <w:t xml:space="preserve">  </w:t>
      </w:r>
      <w:r>
        <w:rPr>
          <w:rFonts w:hint="eastAsia" w:ascii="仿宋_GB2312" w:hAnsi="仿宋" w:eastAsia="仿宋_GB2312" w:cs="仿宋"/>
          <w:color w:val="auto"/>
          <w:highlight w:val="none"/>
        </w:rPr>
        <w:t>工程的施工人必须派专人与</w:t>
      </w:r>
      <w:r>
        <w:rPr>
          <w:rFonts w:hint="eastAsia" w:ascii="仿宋_GB2312" w:hAnsi="仿宋" w:eastAsia="仿宋_GB2312" w:cs="仿宋"/>
          <w:color w:val="auto"/>
          <w:highlight w:val="none"/>
          <w:u w:val="single"/>
        </w:rPr>
        <w:t xml:space="preserve">  </w:t>
      </w:r>
      <w:r>
        <w:rPr>
          <w:rFonts w:hint="eastAsia" w:ascii="仿宋_GB2312" w:hAnsi="仿宋" w:eastAsia="仿宋_GB2312" w:cs="仿宋"/>
          <w:color w:val="auto"/>
          <w:highlight w:val="none"/>
          <w:u w:val="single"/>
          <w:lang w:val="en-US" w:eastAsia="zh-CN"/>
        </w:rPr>
        <w:t>下道工序</w:t>
      </w:r>
      <w:r>
        <w:rPr>
          <w:rFonts w:hint="eastAsia" w:ascii="仿宋_GB2312" w:hAnsi="仿宋" w:eastAsia="仿宋_GB2312" w:cs="仿宋"/>
          <w:color w:val="auto"/>
          <w:highlight w:val="none"/>
          <w:u w:val="single"/>
        </w:rPr>
        <w:t xml:space="preserve">   </w:t>
      </w:r>
      <w:r>
        <w:rPr>
          <w:rFonts w:hint="eastAsia" w:ascii="仿宋_GB2312" w:hAnsi="仿宋" w:eastAsia="仿宋_GB2312" w:cs="仿宋"/>
          <w:color w:val="auto"/>
          <w:highlight w:val="none"/>
        </w:rPr>
        <w:t>工程的施工人一道参加转序验收，对验收结果，</w:t>
      </w:r>
      <w:r>
        <w:rPr>
          <w:rFonts w:hint="eastAsia" w:ascii="仿宋_GB2312" w:hAnsi="仿宋" w:eastAsia="仿宋_GB2312" w:cs="仿宋"/>
          <w:color w:val="auto"/>
          <w:highlight w:val="none"/>
          <w:u w:val="single"/>
        </w:rPr>
        <w:t xml:space="preserve">  </w:t>
      </w:r>
      <w:r>
        <w:rPr>
          <w:rFonts w:hint="eastAsia" w:ascii="仿宋_GB2312" w:hAnsi="仿宋" w:eastAsia="仿宋_GB2312" w:cs="仿宋"/>
          <w:color w:val="auto"/>
          <w:highlight w:val="none"/>
          <w:u w:val="single"/>
          <w:lang w:val="en-US" w:eastAsia="zh-CN"/>
        </w:rPr>
        <w:t>上道工序</w:t>
      </w:r>
      <w:r>
        <w:rPr>
          <w:rFonts w:hint="eastAsia" w:ascii="仿宋_GB2312" w:hAnsi="仿宋" w:eastAsia="仿宋_GB2312" w:cs="仿宋"/>
          <w:color w:val="auto"/>
          <w:highlight w:val="none"/>
          <w:u w:val="single"/>
        </w:rPr>
        <w:t xml:space="preserve">  </w:t>
      </w:r>
      <w:r>
        <w:rPr>
          <w:rFonts w:hint="eastAsia" w:ascii="仿宋_GB2312" w:hAnsi="仿宋" w:eastAsia="仿宋_GB2312" w:cs="仿宋"/>
          <w:color w:val="auto"/>
          <w:highlight w:val="none"/>
        </w:rPr>
        <w:t>工程的施工人和</w:t>
      </w:r>
      <w:r>
        <w:rPr>
          <w:rFonts w:hint="eastAsia" w:ascii="仿宋_GB2312" w:hAnsi="仿宋" w:eastAsia="仿宋_GB2312" w:cs="仿宋"/>
          <w:color w:val="auto"/>
          <w:highlight w:val="none"/>
          <w:u w:val="single"/>
        </w:rPr>
        <w:t xml:space="preserve"> </w:t>
      </w:r>
      <w:r>
        <w:rPr>
          <w:rFonts w:hint="eastAsia" w:ascii="仿宋_GB2312" w:hAnsi="仿宋" w:eastAsia="仿宋_GB2312" w:cs="仿宋"/>
          <w:color w:val="auto"/>
          <w:highlight w:val="none"/>
          <w:u w:val="single"/>
          <w:lang w:val="en-US" w:eastAsia="zh-CN"/>
        </w:rPr>
        <w:t>下道工序</w:t>
      </w:r>
      <w:r>
        <w:rPr>
          <w:rFonts w:hint="eastAsia" w:ascii="仿宋_GB2312" w:hAnsi="仿宋" w:eastAsia="仿宋_GB2312" w:cs="仿宋"/>
          <w:color w:val="auto"/>
          <w:highlight w:val="none"/>
          <w:u w:val="single"/>
        </w:rPr>
        <w:t xml:space="preserve">  </w:t>
      </w:r>
      <w:r>
        <w:rPr>
          <w:rFonts w:hint="eastAsia" w:ascii="仿宋_GB2312" w:hAnsi="仿宋" w:eastAsia="仿宋_GB2312" w:cs="仿宋"/>
          <w:color w:val="auto"/>
          <w:highlight w:val="none"/>
        </w:rPr>
        <w:t>工程及其它项目的施工人须共同签字认可。若经检验复测出现标高、中线、断面和几何尺寸与设计标准不符合的质量问题，双方协商解决；如果出现争议，经监理人或第三方核实认定责任，责任方应及时自费修复到规定的质量标准。如果责任方在规定的时间内，修复不力或达不到标准，承包人可指定其他施工人进行修复，其费用由承包人从责任方工程款中扣除并直接支付给修复人。</w:t>
      </w:r>
    </w:p>
    <w:p>
      <w:pPr>
        <w:pageBreakBefore w:val="0"/>
        <w:kinsoku/>
        <w:wordWrap/>
        <w:overflowPunct/>
        <w:topLinePunct w:val="0"/>
        <w:bidi w:val="0"/>
        <w:spacing w:line="360" w:lineRule="auto"/>
        <w:ind w:firstLine="486" w:firstLineChars="200"/>
        <w:outlineLvl w:val="3"/>
        <w:rPr>
          <w:rFonts w:hint="eastAsia" w:ascii="仿宋_GB2312" w:hAnsi="仿宋" w:eastAsia="仿宋_GB2312" w:cs="仿宋"/>
          <w:b/>
          <w:color w:val="auto"/>
          <w:kern w:val="0"/>
          <w:sz w:val="24"/>
          <w:szCs w:val="24"/>
          <w:highlight w:val="none"/>
        </w:rPr>
      </w:pPr>
      <w:bookmarkStart w:id="806" w:name="_Toc11922692"/>
      <w:bookmarkStart w:id="807" w:name="_Toc11922785"/>
      <w:r>
        <w:rPr>
          <w:rFonts w:hint="eastAsia" w:ascii="仿宋_GB2312" w:hAnsi="仿宋" w:eastAsia="仿宋_GB2312" w:cs="仿宋"/>
          <w:b/>
          <w:color w:val="auto"/>
          <w:kern w:val="0"/>
          <w:sz w:val="24"/>
          <w:szCs w:val="24"/>
          <w:highlight w:val="none"/>
        </w:rPr>
        <w:t>18．安全施工</w:t>
      </w:r>
      <w:bookmarkEnd w:id="806"/>
      <w:bookmarkEnd w:id="807"/>
    </w:p>
    <w:p>
      <w:pPr>
        <w:pageBreakBefore w:val="0"/>
        <w:kinsoku/>
        <w:wordWrap/>
        <w:overflowPunct/>
        <w:topLinePunct w:val="0"/>
        <w:bidi w:val="0"/>
        <w:spacing w:line="360" w:lineRule="auto"/>
        <w:ind w:firstLine="486" w:firstLineChars="200"/>
        <w:rPr>
          <w:rFonts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18.</w:t>
      </w:r>
      <w:r>
        <w:rPr>
          <w:rFonts w:hint="eastAsia" w:ascii="仿宋_GB2312" w:hAnsi="仿宋" w:eastAsia="仿宋_GB2312" w:cs="仿宋"/>
          <w:color w:val="auto"/>
          <w:sz w:val="24"/>
          <w:szCs w:val="24"/>
          <w:highlight w:val="none"/>
        </w:rPr>
        <w:t>1严格遵守《中华人民共和国安全生产法》、《建设工程安全生产管理条例》等国家有关安全生产的法律法规。认真执行工程分包合同中的有关安全要求，</w:t>
      </w:r>
      <w:r>
        <w:rPr>
          <w:rFonts w:hint="eastAsia" w:ascii="仿宋_GB2312" w:hAnsi="仿宋" w:eastAsia="仿宋_GB2312" w:cs="仿宋"/>
          <w:color w:val="auto"/>
          <w:sz w:val="24"/>
          <w:szCs w:val="24"/>
          <w:highlight w:val="none"/>
          <w:lang w:eastAsia="zh-CN"/>
        </w:rPr>
        <w:t>分包人</w:t>
      </w:r>
      <w:r>
        <w:rPr>
          <w:rFonts w:hint="eastAsia" w:ascii="仿宋_GB2312" w:hAnsi="仿宋" w:eastAsia="仿宋_GB2312" w:cs="仿宋"/>
          <w:color w:val="auto"/>
          <w:sz w:val="24"/>
          <w:szCs w:val="24"/>
          <w:highlight w:val="none"/>
        </w:rPr>
        <w:t>未按照国家及地方安全规定和项目规定施工，造成安全事故</w:t>
      </w:r>
      <w:r>
        <w:rPr>
          <w:rFonts w:hint="eastAsia" w:ascii="仿宋_GB2312" w:hAnsi="仿宋" w:eastAsia="仿宋_GB2312" w:cs="仿宋"/>
          <w:color w:val="auto"/>
          <w:sz w:val="24"/>
          <w:szCs w:val="24"/>
          <w:highlight w:val="none"/>
          <w:lang w:eastAsia="zh-CN"/>
        </w:rPr>
        <w:t>的</w:t>
      </w:r>
      <w:r>
        <w:rPr>
          <w:rFonts w:hint="eastAsia" w:ascii="仿宋_GB2312" w:hAnsi="仿宋" w:eastAsia="仿宋_GB2312" w:cs="仿宋"/>
          <w:color w:val="auto"/>
          <w:sz w:val="24"/>
          <w:szCs w:val="24"/>
          <w:highlight w:val="none"/>
        </w:rPr>
        <w:t>，由分包人承担一切经济及法律责任。</w:t>
      </w:r>
    </w:p>
    <w:p>
      <w:pPr>
        <w:pageBreakBefore w:val="0"/>
        <w:kinsoku/>
        <w:wordWrap/>
        <w:overflowPunct/>
        <w:topLinePunct w:val="0"/>
        <w:bidi w:val="0"/>
        <w:spacing w:line="360" w:lineRule="auto"/>
        <w:ind w:firstLine="486" w:firstLineChars="200"/>
        <w:rPr>
          <w:rFonts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18.</w:t>
      </w:r>
      <w:r>
        <w:rPr>
          <w:rFonts w:hint="eastAsia" w:ascii="仿宋_GB2312" w:hAnsi="仿宋" w:eastAsia="仿宋_GB2312" w:cs="仿宋"/>
          <w:color w:val="auto"/>
          <w:sz w:val="24"/>
          <w:szCs w:val="24"/>
          <w:highlight w:val="none"/>
        </w:rPr>
        <w:t>2双方约定在施工场地涉及危险地区或需要安全防护措施施工时，分包人应提出安全防护措施，经承包人批准后实施，发生的相应费用由分包人承担。</w:t>
      </w:r>
    </w:p>
    <w:p>
      <w:pPr>
        <w:pageBreakBefore w:val="0"/>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18.</w:t>
      </w:r>
      <w:r>
        <w:rPr>
          <w:rFonts w:hint="eastAsia" w:ascii="仿宋_GB2312" w:hAnsi="仿宋" w:eastAsia="仿宋_GB2312" w:cs="仿宋"/>
          <w:color w:val="auto"/>
          <w:sz w:val="24"/>
          <w:szCs w:val="24"/>
          <w:highlight w:val="none"/>
        </w:rPr>
        <w:t>4分包人安全生产费用投入不得低于合同总价的___％。安全生产费用应用于施工安全防护用品用具及设施的采购更新、安全施工措施的落实、安全生产条件的改善等，并实行清单管理，不得挪作他用。分包人在按月或按进度编制和提交工程计量支付申请时，应严格按照安全生产费用清单内容同步编制和提交安全生产费用计量支付申请，并附相应票据凭证及过程验收合格记录等证明资料，经承包人审核无误后给予计量支付。</w:t>
      </w:r>
    </w:p>
    <w:p>
      <w:pPr>
        <w:pageBreakBefore w:val="0"/>
        <w:kinsoku/>
        <w:wordWrap/>
        <w:overflowPunct/>
        <w:topLinePunct w:val="0"/>
        <w:bidi w:val="0"/>
        <w:spacing w:line="360" w:lineRule="auto"/>
        <w:ind w:firstLine="486" w:firstLineChars="200"/>
        <w:rPr>
          <w:rFonts w:eastAsia="仿宋_GB2312"/>
          <w:color w:val="auto"/>
          <w:highlight w:val="none"/>
        </w:rPr>
      </w:pPr>
      <w:r>
        <w:rPr>
          <w:rFonts w:hint="eastAsia" w:ascii="仿宋_GB2312" w:hAnsi="仿宋" w:eastAsia="仿宋_GB2312" w:cs="仿宋"/>
          <w:color w:val="auto"/>
          <w:sz w:val="24"/>
          <w:szCs w:val="24"/>
          <w:highlight w:val="none"/>
        </w:rPr>
        <w:t>分包人安全生产费用实际投入使用超出本条款安全生产费用总额的部分，承包人原则上不再给予计量支付，除非发包人对安全防护有特殊要求的除外。分包人安全生产费用实际投入使用低于本条款约定额度的，余额部分承包人不予支付。</w:t>
      </w:r>
    </w:p>
    <w:p>
      <w:pPr>
        <w:pageBreakBefore w:val="0"/>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18.</w:t>
      </w:r>
      <w:r>
        <w:rPr>
          <w:rFonts w:hint="eastAsia" w:ascii="仿宋_GB2312" w:hAnsi="仿宋" w:eastAsia="仿宋_GB2312" w:cs="仿宋"/>
          <w:color w:val="auto"/>
          <w:sz w:val="24"/>
          <w:szCs w:val="24"/>
          <w:highlight w:val="none"/>
        </w:rPr>
        <w:t>5分包人安全文明施工内容达不到检查验收要求的，分包人必须返工至达到要求才能申请计量支付。如分包人拒不执行返工的，承包人有权不予计量支付，并有权委托第三方完成，所发生费用从分包人安全生产费用及工程款中按实际发生额扣除。</w:t>
      </w:r>
    </w:p>
    <w:p>
      <w:pPr>
        <w:spacing w:line="570" w:lineRule="exact"/>
        <w:ind w:firstLine="502" w:firstLineChars="207"/>
        <w:rPr>
          <w:rFonts w:hint="eastAsia" w:ascii="仿宋_GB2312" w:hAnsi="仿宋_GB2312" w:eastAsia="仿宋_GB2312" w:cs="仿宋_GB2312"/>
          <w:color w:val="auto"/>
          <w:sz w:val="24"/>
          <w:szCs w:val="24"/>
          <w:highlight w:val="none"/>
          <w:u w:val="single"/>
        </w:rPr>
      </w:pPr>
      <w:r>
        <w:rPr>
          <w:rFonts w:ascii="仿宋_GB2312" w:hAnsi="仿宋" w:eastAsia="仿宋_GB2312" w:cs="仿宋"/>
          <w:color w:val="auto"/>
          <w:sz w:val="24"/>
          <w:szCs w:val="24"/>
          <w:highlight w:val="none"/>
        </w:rPr>
        <w:t>18.</w:t>
      </w:r>
      <w:r>
        <w:rPr>
          <w:rFonts w:hint="eastAsia" w:ascii="仿宋_GB2312" w:hAnsi="仿宋_GB2312" w:eastAsia="仿宋_GB2312" w:cs="仿宋_GB2312"/>
          <w:color w:val="auto"/>
          <w:sz w:val="24"/>
          <w:szCs w:val="24"/>
          <w:highlight w:val="none"/>
        </w:rPr>
        <w:t>4本分包合同适用于方案</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u w:val="single"/>
        </w:rPr>
        <w:t xml:space="preserve">方案二  </w:t>
      </w:r>
    </w:p>
    <w:p>
      <w:pPr>
        <w:spacing w:line="570" w:lineRule="exact"/>
        <w:ind w:firstLine="502" w:firstLineChars="20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方案一：乙方按“劳保用品发放标准”向施工作业人员发放劳保用品（如工作服、手套、劳保鞋、口罩、防护眼镜等）和安全防护用品（如安全帽、安全带、反光背心等），劳保用品及安全防护用品发放标准可参照个体防护装备选用规范（GB-T11651-2008）</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确保劳保用品必须为满足国家及行业有关标准要求的合格产品</w:t>
      </w:r>
      <w:r>
        <w:rPr>
          <w:rFonts w:hint="eastAsia" w:ascii="仿宋_GB2312" w:hAnsi="仿宋_GB2312" w:eastAsia="仿宋_GB2312" w:cs="仿宋_GB2312"/>
          <w:color w:val="auto"/>
          <w:sz w:val="24"/>
          <w:szCs w:val="24"/>
          <w:highlight w:val="none"/>
        </w:rPr>
        <w:t>，乙方负责监督实施，督促从业人员正确使用劳动防护用品，及时制止违章行为。安全帽、安全带等安全防护用品必须使用甲方统一提供的产品，费用均由分包人承担。</w:t>
      </w:r>
    </w:p>
    <w:p>
      <w:pPr>
        <w:spacing w:line="570" w:lineRule="exact"/>
        <w:ind w:firstLine="502" w:firstLineChars="20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方案二：甲方负责为乙方施工劳务作业人员提供必要的合格劳动保护用品（如工作服、手套、劳保鞋、口罩、防护眼镜等）和安全防护用品（如安全帽、安全带、反光背心等），费用由乙方负责，劳保用品及安全防护用品标准可参照个体防护装备选用规范（GB-T11651-2008）</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确保劳保用品必须为满足国家及行业有关标准要求的合格产品。</w:t>
      </w:r>
      <w:r>
        <w:rPr>
          <w:rFonts w:hint="eastAsia" w:ascii="仿宋_GB2312" w:hAnsi="仿宋_GB2312" w:eastAsia="仿宋_GB2312" w:cs="仿宋_GB2312"/>
          <w:color w:val="auto"/>
          <w:sz w:val="24"/>
          <w:szCs w:val="24"/>
          <w:highlight w:val="none"/>
        </w:rPr>
        <w:t>乙方负责监督实施，督促从业人员正确使用劳动防护用品，及时制止违章行为。安全帽、安全带、反光背心等安全防护用品必须使用甲方统一提供的产品，费用均由乙方承担。</w:t>
      </w:r>
    </w:p>
    <w:p>
      <w:pPr>
        <w:pageBreakBefore w:val="0"/>
        <w:kinsoku/>
        <w:wordWrap/>
        <w:overflowPunct/>
        <w:topLinePunct w:val="0"/>
        <w:bidi w:val="0"/>
        <w:spacing w:line="360" w:lineRule="auto"/>
        <w:ind w:firstLine="486" w:firstLineChars="200"/>
        <w:rPr>
          <w:rFonts w:hint="eastAsia" w:ascii="仿宋_GB2312" w:hAnsi="仿宋_GB2312" w:eastAsia="仿宋_GB2312" w:cs="仿宋_GB2312"/>
          <w:color w:val="auto"/>
          <w:highlight w:val="none"/>
        </w:rPr>
      </w:pPr>
      <w:r>
        <w:rPr>
          <w:rFonts w:hint="eastAsia" w:ascii="仿宋_GB2312" w:hAnsi="仿宋" w:eastAsia="仿宋_GB2312" w:cs="仿宋"/>
          <w:color w:val="auto"/>
          <w:sz w:val="24"/>
          <w:szCs w:val="24"/>
          <w:highlight w:val="none"/>
        </w:rPr>
        <w:t>分包人应督促从业人员正确使用劳动防护用品，及时制止违章行为。</w:t>
      </w:r>
    </w:p>
    <w:p>
      <w:pPr>
        <w:pStyle w:val="5"/>
        <w:pageBreakBefore w:val="0"/>
        <w:kinsoku/>
        <w:wordWrap/>
        <w:overflowPunct/>
        <w:topLinePunct w:val="0"/>
        <w:bidi w:val="0"/>
        <w:spacing w:before="0" w:after="0" w:line="360" w:lineRule="auto"/>
        <w:ind w:firstLine="566" w:firstLineChars="200"/>
        <w:jc w:val="center"/>
        <w:rPr>
          <w:rFonts w:hint="eastAsia" w:ascii="黑体" w:hAnsi="黑体" w:eastAsia="黑体" w:cs="黑体"/>
          <w:b/>
          <w:bCs w:val="0"/>
          <w:color w:val="auto"/>
          <w:sz w:val="28"/>
          <w:szCs w:val="28"/>
          <w:highlight w:val="none"/>
        </w:rPr>
      </w:pPr>
      <w:bookmarkStart w:id="808" w:name="_Toc20612"/>
      <w:bookmarkStart w:id="809" w:name="_Toc9910"/>
      <w:bookmarkStart w:id="810" w:name="_Toc30375"/>
      <w:bookmarkStart w:id="811" w:name="_Toc13728"/>
      <w:bookmarkStart w:id="812" w:name="_Toc18926"/>
      <w:bookmarkStart w:id="813" w:name="_Toc12471"/>
      <w:bookmarkStart w:id="814" w:name="_Toc6342"/>
      <w:bookmarkStart w:id="815" w:name="_Toc32667"/>
      <w:bookmarkStart w:id="816" w:name="_Toc19322"/>
      <w:bookmarkStart w:id="817" w:name="_Toc21237"/>
      <w:r>
        <w:rPr>
          <w:rFonts w:hint="eastAsia" w:ascii="黑体" w:hAnsi="黑体" w:eastAsia="黑体" w:cs="黑体"/>
          <w:b/>
          <w:bCs w:val="0"/>
          <w:color w:val="auto"/>
          <w:sz w:val="28"/>
          <w:szCs w:val="28"/>
          <w:highlight w:val="none"/>
        </w:rPr>
        <w:t>五、合同价款与支付</w:t>
      </w:r>
      <w:bookmarkEnd w:id="783"/>
      <w:bookmarkEnd w:id="784"/>
      <w:bookmarkEnd w:id="785"/>
      <w:bookmarkEnd w:id="786"/>
      <w:bookmarkEnd w:id="808"/>
      <w:bookmarkEnd w:id="809"/>
      <w:bookmarkEnd w:id="810"/>
      <w:bookmarkEnd w:id="811"/>
      <w:bookmarkEnd w:id="812"/>
      <w:bookmarkEnd w:id="813"/>
      <w:bookmarkEnd w:id="814"/>
      <w:bookmarkEnd w:id="815"/>
      <w:bookmarkEnd w:id="816"/>
      <w:bookmarkEnd w:id="817"/>
    </w:p>
    <w:p>
      <w:pPr>
        <w:pageBreakBefore w:val="0"/>
        <w:kinsoku/>
        <w:wordWrap/>
        <w:overflowPunct/>
        <w:topLinePunct w:val="0"/>
        <w:bidi w:val="0"/>
        <w:spacing w:line="360" w:lineRule="auto"/>
        <w:ind w:firstLine="486" w:firstLineChars="200"/>
        <w:outlineLvl w:val="3"/>
        <w:rPr>
          <w:rFonts w:hint="eastAsia" w:ascii="仿宋_GB2312" w:hAnsi="仿宋" w:eastAsia="仿宋_GB2312" w:cs="仿宋"/>
          <w:b/>
          <w:color w:val="auto"/>
          <w:kern w:val="0"/>
          <w:sz w:val="24"/>
          <w:szCs w:val="24"/>
          <w:highlight w:val="none"/>
        </w:rPr>
      </w:pPr>
      <w:bookmarkStart w:id="818" w:name="_Toc11922694"/>
      <w:bookmarkStart w:id="819" w:name="_Toc11922787"/>
      <w:r>
        <w:rPr>
          <w:rFonts w:hint="eastAsia" w:ascii="仿宋_GB2312" w:hAnsi="仿宋" w:eastAsia="仿宋_GB2312" w:cs="仿宋"/>
          <w:b/>
          <w:color w:val="auto"/>
          <w:kern w:val="0"/>
          <w:sz w:val="24"/>
          <w:szCs w:val="24"/>
          <w:highlight w:val="none"/>
        </w:rPr>
        <w:t>19．合同价款及其调整</w:t>
      </w:r>
      <w:bookmarkEnd w:id="818"/>
      <w:bookmarkEnd w:id="819"/>
    </w:p>
    <w:p>
      <w:pPr>
        <w:pageBreakBefore w:val="0"/>
        <w:tabs>
          <w:tab w:val="right" w:pos="8306"/>
        </w:tabs>
        <w:kinsoku/>
        <w:wordWrap/>
        <w:overflowPunct/>
        <w:topLinePunct w:val="0"/>
        <w:bidi w:val="0"/>
        <w:spacing w:line="360" w:lineRule="auto"/>
        <w:ind w:firstLine="486" w:firstLineChars="200"/>
        <w:rPr>
          <w:rFonts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19.</w:t>
      </w:r>
      <w:r>
        <w:rPr>
          <w:rFonts w:hint="eastAsia" w:ascii="仿宋_GB2312" w:hAnsi="仿宋" w:eastAsia="仿宋_GB2312" w:cs="仿宋"/>
          <w:color w:val="auto"/>
          <w:sz w:val="24"/>
          <w:szCs w:val="24"/>
          <w:highlight w:val="none"/>
        </w:rPr>
        <w:t>2</w:t>
      </w:r>
      <w:r>
        <w:rPr>
          <w:rFonts w:ascii="仿宋_GB2312" w:hAnsi="仿宋" w:eastAsia="仿宋_GB2312" w:cs="仿宋"/>
          <w:color w:val="auto"/>
          <w:sz w:val="24"/>
          <w:szCs w:val="24"/>
          <w:highlight w:val="none"/>
        </w:rPr>
        <w:t xml:space="preserve"> </w:t>
      </w:r>
      <w:r>
        <w:rPr>
          <w:rFonts w:hint="eastAsia" w:ascii="仿宋_GB2312" w:hAnsi="仿宋" w:eastAsia="仿宋_GB2312" w:cs="仿宋"/>
          <w:color w:val="auto"/>
          <w:sz w:val="24"/>
          <w:szCs w:val="24"/>
          <w:highlight w:val="none"/>
        </w:rPr>
        <w:t>本合同价款采用以下第</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3</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种方式确定。</w:t>
      </w:r>
      <w:r>
        <w:rPr>
          <w:rFonts w:ascii="仿宋_GB2312" w:hAnsi="仿宋" w:eastAsia="仿宋_GB2312" w:cs="仿宋"/>
          <w:color w:val="auto"/>
          <w:sz w:val="24"/>
          <w:szCs w:val="24"/>
          <w:highlight w:val="none"/>
        </w:rPr>
        <w:tab/>
      </w:r>
    </w:p>
    <w:p>
      <w:pPr>
        <w:pageBreakBefore w:val="0"/>
        <w:tabs>
          <w:tab w:val="right" w:pos="8306"/>
        </w:tabs>
        <w:kinsoku/>
        <w:wordWrap/>
        <w:overflowPunct/>
        <w:topLinePunct w:val="0"/>
        <w:bidi w:val="0"/>
        <w:spacing w:line="360" w:lineRule="auto"/>
        <w:ind w:firstLine="486" w:firstLineChars="200"/>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（1）成本加酬金（固定费率）。承包人按本分包工程结算总造价（不含税）的</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w:t>
      </w:r>
      <w:r>
        <w:rPr>
          <w:rFonts w:hint="eastAsia" w:ascii="仿宋_GB2312" w:hAnsi="仿宋" w:eastAsia="仿宋_GB2312" w:cs="仿宋"/>
          <w:color w:val="auto"/>
          <w:sz w:val="24"/>
          <w:szCs w:val="24"/>
          <w:highlight w:val="none"/>
          <w:u w:val="single"/>
        </w:rPr>
        <w:t xml:space="preserve">   </w:t>
      </w:r>
      <w:r>
        <w:rPr>
          <w:rFonts w:ascii="仿宋_GB2312" w:hAnsi="仿宋" w:eastAsia="仿宋_GB2312" w:cs="仿宋"/>
          <w:color w:val="auto"/>
          <w:sz w:val="24"/>
          <w:szCs w:val="24"/>
          <w:highlight w:val="none"/>
        </w:rPr>
        <w:t>%</w:t>
      </w:r>
      <w:r>
        <w:rPr>
          <w:rFonts w:hint="eastAsia" w:ascii="仿宋_GB2312" w:hAnsi="仿宋" w:eastAsia="仿宋_GB2312" w:cs="仿宋"/>
          <w:color w:val="auto"/>
          <w:sz w:val="24"/>
          <w:szCs w:val="24"/>
          <w:highlight w:val="none"/>
        </w:rPr>
        <w:t>向分包人收取管理费。</w:t>
      </w:r>
    </w:p>
    <w:p>
      <w:pPr>
        <w:pageBreakBefore w:val="0"/>
        <w:tabs>
          <w:tab w:val="right" w:pos="8306"/>
        </w:tabs>
        <w:kinsoku/>
        <w:wordWrap/>
        <w:overflowPunct/>
        <w:topLinePunct w:val="0"/>
        <w:bidi w:val="0"/>
        <w:spacing w:line="360" w:lineRule="auto"/>
        <w:ind w:firstLine="486" w:firstLineChars="200"/>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（2）固定价格。固定总价</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万元。即合同总造价已包括为实施本工程应支付给分包人的所有费用，本合同价款除约定可调整的项目外，无论何种情况，均不予调整。</w:t>
      </w:r>
      <w:r>
        <w:rPr>
          <w:rFonts w:ascii="仿宋_GB2312" w:hAnsi="仿宋" w:eastAsia="仿宋_GB2312" w:cs="仿宋"/>
          <w:color w:val="auto"/>
          <w:sz w:val="24"/>
          <w:szCs w:val="24"/>
          <w:highlight w:val="none"/>
        </w:rPr>
        <w:t xml:space="preserve">    </w:t>
      </w:r>
    </w:p>
    <w:p>
      <w:pPr>
        <w:pageBreakBefore w:val="0"/>
        <w:tabs>
          <w:tab w:val="right" w:pos="8306"/>
        </w:tabs>
        <w:kinsoku/>
        <w:wordWrap/>
        <w:overflowPunct/>
        <w:topLinePunct w:val="0"/>
        <w:bidi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pPr>
        <w:pageBreakBefore w:val="0"/>
        <w:tabs>
          <w:tab w:val="right" w:pos="8306"/>
        </w:tabs>
        <w:kinsoku/>
        <w:wordWrap/>
        <w:overflowPunct/>
        <w:topLinePunct w:val="0"/>
        <w:bidi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val="en-US" w:eastAsia="zh-CN"/>
        </w:rPr>
        <w:t>固定单价</w:t>
      </w:r>
      <w:r>
        <w:rPr>
          <w:rFonts w:hint="eastAsia" w:ascii="仿宋_GB2312" w:hAnsi="仿宋_GB2312" w:eastAsia="仿宋_GB2312" w:cs="仿宋_GB2312"/>
          <w:color w:val="auto"/>
          <w:sz w:val="24"/>
          <w:szCs w:val="24"/>
          <w:highlight w:val="none"/>
        </w:rPr>
        <w:t>。暂定总价</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万元。已标价工程量清单或工程报价清单附后。最终结算工程量以双方现场核定的工程数量为准。 即以固定合同不含税单价乘以实际完成工程量+增值税进行结算。</w:t>
      </w:r>
    </w:p>
    <w:p>
      <w:pPr>
        <w:pageBreakBefore w:val="0"/>
        <w:tabs>
          <w:tab w:val="right" w:pos="8306"/>
        </w:tabs>
        <w:kinsoku/>
        <w:wordWrap/>
        <w:overflowPunct/>
        <w:topLinePunct w:val="0"/>
        <w:bidi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（①.本合同中的不含税价格不因国家税率变化而变化，若在合同履行期间，如遇国家的增值税税率调整，则价税合计相应调整，以开具发票的时间为准；</w:t>
      </w:r>
    </w:p>
    <w:p>
      <w:pPr>
        <w:keepNext w:val="0"/>
        <w:keepLines w:val="0"/>
        <w:pageBreakBefore w:val="0"/>
        <w:widowControl w:val="0"/>
        <w:tabs>
          <w:tab w:val="right" w:pos="8306"/>
        </w:tabs>
        <w:kinsoku/>
        <w:wordWrap/>
        <w:overflowPunct/>
        <w:topLinePunct w:val="0"/>
        <w:autoSpaceDE/>
        <w:autoSpaceDN/>
        <w:bidi w:val="0"/>
        <w:adjustRightInd/>
        <w:snapToGrid/>
        <w:spacing w:line="360" w:lineRule="auto"/>
        <w:ind w:firstLine="486" w:firstLineChars="200"/>
        <w:textAlignment w:val="auto"/>
        <w:rPr>
          <w:rFonts w:hint="eastAsia" w:ascii="仿宋_GB2312" w:hAnsi="仿宋" w:eastAsia="仿宋_GB2312" w:cs="仿宋"/>
          <w:color w:val="auto"/>
          <w:sz w:val="24"/>
          <w:szCs w:val="24"/>
          <w:highlight w:val="none"/>
        </w:rPr>
      </w:pPr>
      <w:r>
        <w:rPr>
          <w:rFonts w:hint="eastAsia" w:ascii="仿宋_GB2312" w:hAnsi="仿宋_GB2312" w:eastAsia="仿宋_GB2312" w:cs="仿宋_GB2312"/>
          <w:color w:val="auto"/>
          <w:sz w:val="24"/>
          <w:szCs w:val="24"/>
          <w:highlight w:val="none"/>
        </w:rPr>
        <w:t xml:space="preserve">②. 合同税额均已包括但不限于增值税及其他附加税费、所得税、印花税等,甲方不再向乙方支付任何税费。除增值税外，其他税费都以包含在不含税单价中） </w:t>
      </w:r>
      <w:r>
        <w:rPr>
          <w:rFonts w:hint="eastAsia" w:ascii="仿宋_GB2312" w:hAnsi="仿宋" w:eastAsia="仿宋_GB2312" w:cs="仿宋"/>
          <w:color w:val="auto"/>
          <w:sz w:val="24"/>
          <w:szCs w:val="24"/>
          <w:highlight w:val="none"/>
        </w:rPr>
        <w:t xml:space="preserve"> </w:t>
      </w:r>
    </w:p>
    <w:p>
      <w:pPr>
        <w:keepNext w:val="0"/>
        <w:keepLines w:val="0"/>
        <w:pageBreakBefore w:val="0"/>
        <w:widowControl w:val="0"/>
        <w:tabs>
          <w:tab w:val="right" w:pos="8306"/>
        </w:tabs>
        <w:kinsoku/>
        <w:wordWrap/>
        <w:overflowPunct/>
        <w:topLinePunct w:val="0"/>
        <w:autoSpaceDE/>
        <w:autoSpaceDN/>
        <w:bidi w:val="0"/>
        <w:adjustRightInd/>
        <w:snapToGrid/>
        <w:spacing w:line="360" w:lineRule="auto"/>
        <w:ind w:firstLine="639" w:firstLineChars="300"/>
        <w:textAlignment w:val="auto"/>
        <w:rPr>
          <w:rFonts w:hint="eastAsia" w:ascii="仿宋_GB2312" w:hAnsi="仿宋" w:eastAsia="仿宋_GB2312" w:cs="仿宋"/>
          <w:color w:val="auto"/>
          <w:sz w:val="24"/>
          <w:szCs w:val="24"/>
          <w:highlight w:val="none"/>
        </w:rPr>
      </w:pPr>
      <w:r>
        <w:rPr>
          <w:rFonts w:hint="eastAsia" w:ascii="宋体" w:hAnsi="宋体" w:cs="宋体"/>
          <w:color w:val="auto"/>
          <w:szCs w:val="21"/>
          <w:highlight w:val="none"/>
          <w:u w:val="single"/>
          <w:lang w:val="en-US" w:eastAsia="zh-CN"/>
        </w:rPr>
        <w:t>③.最终不含税合同单价不因实际完成（结算）工程量的增减而变化，实际完成（结算）工程量与合同单价无关。</w:t>
      </w:r>
      <w:r>
        <w:rPr>
          <w:rFonts w:hint="eastAsia" w:ascii="仿宋_GB2312" w:hAnsi="仿宋_GB2312" w:eastAsia="仿宋_GB2312" w:cs="仿宋_GB2312"/>
          <w:color w:val="auto"/>
          <w:sz w:val="24"/>
          <w:szCs w:val="24"/>
          <w:highlight w:val="none"/>
        </w:rPr>
        <w:t xml:space="preserve">） </w:t>
      </w:r>
      <w:r>
        <w:rPr>
          <w:rFonts w:hint="eastAsia" w:ascii="仿宋_GB2312" w:hAnsi="仿宋" w:eastAsia="仿宋_GB2312" w:cs="仿宋"/>
          <w:color w:val="auto"/>
          <w:sz w:val="24"/>
          <w:szCs w:val="24"/>
          <w:highlight w:val="none"/>
        </w:rPr>
        <w:t xml:space="preserve"> </w:t>
      </w:r>
    </w:p>
    <w:p>
      <w:pPr>
        <w:keepNext w:val="0"/>
        <w:keepLines w:val="0"/>
        <w:pageBreakBefore w:val="0"/>
        <w:widowControl w:val="0"/>
        <w:tabs>
          <w:tab w:val="right" w:pos="8306"/>
        </w:tabs>
        <w:kinsoku/>
        <w:wordWrap/>
        <w:overflowPunct/>
        <w:topLinePunct w:val="0"/>
        <w:autoSpaceDE/>
        <w:autoSpaceDN/>
        <w:bidi w:val="0"/>
        <w:adjustRightInd/>
        <w:snapToGrid/>
        <w:spacing w:line="360" w:lineRule="auto"/>
        <w:ind w:firstLine="486" w:firstLineChars="200"/>
        <w:textAlignment w:val="auto"/>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风险费用的计算方法：</w:t>
      </w:r>
    </w:p>
    <w:p>
      <w:pPr>
        <w:keepNext w:val="0"/>
        <w:keepLines w:val="0"/>
        <w:pageBreakBefore w:val="0"/>
        <w:widowControl w:val="0"/>
        <w:tabs>
          <w:tab w:val="right" w:pos="8306"/>
        </w:tabs>
        <w:kinsoku/>
        <w:wordWrap/>
        <w:overflowPunct/>
        <w:topLinePunct w:val="0"/>
        <w:autoSpaceDE/>
        <w:autoSpaceDN/>
        <w:bidi w:val="0"/>
        <w:adjustRightInd/>
        <w:snapToGrid/>
        <w:spacing w:line="360" w:lineRule="auto"/>
        <w:ind w:firstLine="486" w:firstLineChars="200"/>
        <w:textAlignment w:val="auto"/>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 xml:space="preserve"> 风险范围以外合同价款调整方法为：</w:t>
      </w:r>
      <w:r>
        <w:rPr>
          <w:rFonts w:hint="eastAsia" w:ascii="仿宋_GB2312" w:hAnsi="仿宋" w:eastAsia="仿宋_GB2312" w:cs="仿宋"/>
          <w:color w:val="auto"/>
          <w:sz w:val="24"/>
          <w:szCs w:val="24"/>
          <w:highlight w:val="none"/>
          <w:u w:val="single"/>
          <w:lang w:val="en-US" w:eastAsia="zh-CN"/>
        </w:rPr>
        <w:t xml:space="preserve">       不调整        </w:t>
      </w:r>
      <w:r>
        <w:rPr>
          <w:rFonts w:ascii="仿宋_GB2312" w:hAnsi="仿宋" w:eastAsia="仿宋_GB2312" w:cs="仿宋"/>
          <w:color w:val="auto"/>
          <w:sz w:val="24"/>
          <w:szCs w:val="24"/>
          <w:highlight w:val="none"/>
        </w:rPr>
        <w:tab/>
      </w:r>
    </w:p>
    <w:p>
      <w:pPr>
        <w:keepNext w:val="0"/>
        <w:keepLines w:val="0"/>
        <w:pageBreakBefore w:val="0"/>
        <w:widowControl w:val="0"/>
        <w:tabs>
          <w:tab w:val="right" w:pos="8306"/>
        </w:tabs>
        <w:kinsoku/>
        <w:wordWrap/>
        <w:overflowPunct/>
        <w:topLinePunct w:val="0"/>
        <w:autoSpaceDE/>
        <w:autoSpaceDN/>
        <w:bidi w:val="0"/>
        <w:adjustRightInd/>
        <w:snapToGrid/>
        <w:spacing w:line="360" w:lineRule="auto"/>
        <w:ind w:firstLine="486" w:firstLineChars="200"/>
        <w:textAlignment w:val="auto"/>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 xml:space="preserve"> a.采用可调价格的，合同价款的调整方法</w:t>
      </w:r>
      <w:r>
        <w:rPr>
          <w:rFonts w:hint="eastAsia" w:ascii="仿宋_GB2312" w:hAnsi="仿宋" w:eastAsia="仿宋_GB2312" w:cs="仿宋"/>
          <w:color w:val="auto"/>
          <w:sz w:val="24"/>
          <w:szCs w:val="24"/>
          <w:highlight w:val="none"/>
          <w:u w:val="none"/>
        </w:rPr>
        <w:t>：</w:t>
      </w:r>
      <w:r>
        <w:rPr>
          <w:rFonts w:hint="eastAsia" w:ascii="仿宋_GB2312" w:hAnsi="仿宋" w:eastAsia="仿宋_GB2312" w:cs="仿宋"/>
          <w:color w:val="auto"/>
          <w:sz w:val="24"/>
          <w:szCs w:val="24"/>
          <w:highlight w:val="none"/>
          <w:u w:val="single"/>
          <w:lang w:val="en-US" w:eastAsia="zh-CN"/>
        </w:rPr>
        <w:t xml:space="preserve">            /            </w:t>
      </w:r>
      <w:r>
        <w:rPr>
          <w:rFonts w:ascii="仿宋_GB2312" w:hAnsi="仿宋" w:eastAsia="仿宋_GB2312" w:cs="仿宋"/>
          <w:color w:val="auto"/>
          <w:sz w:val="24"/>
          <w:szCs w:val="24"/>
          <w:highlight w:val="none"/>
        </w:rPr>
        <w:tab/>
      </w:r>
      <w:r>
        <w:rPr>
          <w:rFonts w:ascii="仿宋_GB2312" w:hAnsi="仿宋" w:eastAsia="仿宋_GB2312" w:cs="仿宋"/>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hint="default" w:eastAsia="仿宋_GB2312"/>
          <w:color w:val="auto"/>
          <w:highlight w:val="none"/>
          <w:lang w:val="en-US" w:eastAsia="zh-CN"/>
        </w:rPr>
      </w:pPr>
      <w:r>
        <w:rPr>
          <w:rFonts w:hint="eastAsia" w:ascii="仿宋_GB2312" w:hAnsi="仿宋" w:eastAsia="仿宋_GB2312" w:cs="仿宋"/>
          <w:color w:val="auto"/>
          <w:sz w:val="24"/>
          <w:szCs w:val="24"/>
          <w:highlight w:val="none"/>
        </w:rPr>
        <w:t xml:space="preserve"> b.采用成本加酬金的，有关成本加酬金的约定为：</w:t>
      </w:r>
      <w:r>
        <w:rPr>
          <w:rFonts w:ascii="仿宋_GB2312" w:hAnsi="仿宋" w:eastAsia="仿宋_GB2312" w:cs="仿宋"/>
          <w:color w:val="auto"/>
          <w:sz w:val="24"/>
          <w:szCs w:val="24"/>
          <w:highlight w:val="none"/>
          <w:u w:val="single"/>
        </w:rPr>
        <w:tab/>
      </w:r>
      <w:r>
        <w:rPr>
          <w:rFonts w:hint="eastAsia" w:ascii="仿宋_GB2312" w:hAnsi="仿宋" w:eastAsia="仿宋_GB2312" w:cs="仿宋"/>
          <w:color w:val="auto"/>
          <w:sz w:val="24"/>
          <w:szCs w:val="24"/>
          <w:highlight w:val="none"/>
          <w:u w:val="single"/>
          <w:lang w:val="en-US" w:eastAsia="zh-CN"/>
        </w:rPr>
        <w:t xml:space="preserve">     /          </w:t>
      </w:r>
    </w:p>
    <w:p>
      <w:pPr>
        <w:pageBreakBefore w:val="0"/>
        <w:tabs>
          <w:tab w:val="right" w:pos="8306"/>
        </w:tabs>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19.</w:t>
      </w:r>
      <w:r>
        <w:rPr>
          <w:rFonts w:hint="eastAsia" w:ascii="仿宋_GB2312" w:hAnsi="仿宋" w:eastAsia="仿宋_GB2312" w:cs="仿宋"/>
          <w:color w:val="auto"/>
          <w:sz w:val="24"/>
          <w:szCs w:val="24"/>
          <w:highlight w:val="none"/>
        </w:rPr>
        <w:t>6无论何种情况引起工程量变化，单价都不予改变。</w:t>
      </w:r>
    </w:p>
    <w:p>
      <w:pPr>
        <w:pageBreakBefore w:val="0"/>
        <w:tabs>
          <w:tab w:val="right" w:pos="8306"/>
        </w:tabs>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rPr>
        <w:t>19.6.1综合单价中已包括综合费（分包人人员工资、分包人人员各项劳动保护费、“五险一金”、病伤工资、医药费、工具用具费、意外伤害保险费用、停工费、材料费（除甲供）、材料价格波动（除甲供），差旅费，临时设施费，安全文明施工费，辅材费，机械等费用、地理位置、现场情况、风土民情、工人食宿、不同施工季节、环境保护及职业健康安全、绿色施工、直至工程验收合格及保修等所有费用)、管理费等。</w:t>
      </w:r>
    </w:p>
    <w:p>
      <w:pPr>
        <w:pageBreakBefore w:val="0"/>
        <w:tabs>
          <w:tab w:val="right" w:pos="8306"/>
        </w:tabs>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 xml:space="preserve"> 19.6.2合同价款中各项单价中均已包含</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2</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%的安全生产费用，安全生产费用实行单独专项计量支付，确保专款专用。</w:t>
      </w:r>
    </w:p>
    <w:p>
      <w:pPr>
        <w:pageBreakBefore w:val="0"/>
        <w:tabs>
          <w:tab w:val="right" w:pos="8306"/>
        </w:tabs>
        <w:kinsoku/>
        <w:wordWrap/>
        <w:overflowPunct/>
        <w:topLinePunct w:val="0"/>
        <w:bidi w:val="0"/>
        <w:spacing w:line="360" w:lineRule="auto"/>
        <w:ind w:firstLine="486" w:firstLineChars="200"/>
        <w:rPr>
          <w:rFonts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19.</w:t>
      </w:r>
      <w:r>
        <w:rPr>
          <w:rFonts w:hint="eastAsia" w:ascii="仿宋_GB2312" w:hAnsi="仿宋" w:eastAsia="仿宋_GB2312" w:cs="仿宋"/>
          <w:color w:val="auto"/>
          <w:sz w:val="24"/>
          <w:szCs w:val="24"/>
          <w:highlight w:val="none"/>
        </w:rPr>
        <w:t>7新增单价的确定：</w:t>
      </w:r>
    </w:p>
    <w:p>
      <w:pPr>
        <w:pageBreakBefore w:val="0"/>
        <w:tabs>
          <w:tab w:val="right" w:pos="8306"/>
        </w:tabs>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r>
        <w:rPr>
          <w:rFonts w:hint="eastAsia" w:ascii="仿宋_GB2312" w:hAnsi="仿宋" w:eastAsia="仿宋_GB2312" w:cs="仿宋"/>
          <w:b/>
          <w:bCs/>
          <w:color w:val="auto"/>
          <w:sz w:val="24"/>
          <w:szCs w:val="24"/>
          <w:highlight w:val="none"/>
          <w:lang w:eastAsia="zh-CN"/>
        </w:rPr>
        <w:t>（</w:t>
      </w:r>
      <w:r>
        <w:rPr>
          <w:rFonts w:hint="eastAsia" w:ascii="仿宋_GB2312" w:hAnsi="仿宋" w:eastAsia="仿宋_GB2312" w:cs="仿宋"/>
          <w:b/>
          <w:bCs/>
          <w:color w:val="auto"/>
          <w:sz w:val="24"/>
          <w:szCs w:val="24"/>
          <w:highlight w:val="none"/>
          <w:lang w:val="en-US" w:eastAsia="zh-CN"/>
        </w:rPr>
        <w:t>1</w:t>
      </w:r>
      <w:r>
        <w:rPr>
          <w:rFonts w:hint="eastAsia" w:ascii="仿宋_GB2312" w:hAnsi="仿宋" w:eastAsia="仿宋_GB2312" w:cs="仿宋"/>
          <w:b/>
          <w:bCs/>
          <w:color w:val="auto"/>
          <w:sz w:val="24"/>
          <w:szCs w:val="24"/>
          <w:highlight w:val="none"/>
          <w:lang w:eastAsia="zh-CN"/>
        </w:rPr>
        <w:t>）</w:t>
      </w:r>
      <w:r>
        <w:rPr>
          <w:rFonts w:hint="eastAsia" w:ascii="仿宋_GB2312" w:hAnsi="仿宋" w:eastAsia="仿宋_GB2312" w:cs="仿宋"/>
          <w:b/>
          <w:bCs/>
          <w:color w:val="auto"/>
          <w:sz w:val="24"/>
          <w:szCs w:val="24"/>
          <w:highlight w:val="none"/>
        </w:rPr>
        <w:t>新增单价计价原则：</w:t>
      </w:r>
      <w:r>
        <w:rPr>
          <w:rFonts w:hint="eastAsia" w:ascii="仿宋_GB2312" w:hAnsi="仿宋_GB2312" w:eastAsia="仿宋_GB2312" w:cs="仿宋_GB2312"/>
          <w:b w:val="0"/>
          <w:i w:val="0"/>
          <w:caps w:val="0"/>
          <w:color w:val="auto"/>
          <w:spacing w:val="0"/>
          <w:w w:val="100"/>
          <w:sz w:val="24"/>
          <w:szCs w:val="24"/>
          <w:highlight w:val="none"/>
          <w:u w:val="single" w:color="000000"/>
          <w:lang w:val="en-US" w:eastAsia="zh-CN"/>
        </w:rPr>
        <w:t>双方协商后，根据甲方管理要求执行</w:t>
      </w:r>
      <w:r>
        <w:rPr>
          <w:rFonts w:hint="eastAsia" w:ascii="宋体" w:hAnsi="宋体" w:eastAsia="宋体" w:cs="宋体"/>
          <w:b w:val="0"/>
          <w:i w:val="0"/>
          <w:caps w:val="0"/>
          <w:color w:val="auto"/>
          <w:spacing w:val="0"/>
          <w:w w:val="100"/>
          <w:sz w:val="21"/>
          <w:szCs w:val="21"/>
          <w:highlight w:val="none"/>
          <w:u w:val="single" w:color="000000"/>
        </w:rPr>
        <w:t xml:space="preserve"> </w:t>
      </w:r>
      <w:r>
        <w:rPr>
          <w:rFonts w:hint="eastAsia" w:ascii="仿宋_GB2312" w:hAnsi="仿宋" w:eastAsia="仿宋_GB2312" w:cs="仿宋"/>
          <w:color w:val="auto"/>
          <w:sz w:val="24"/>
          <w:szCs w:val="24"/>
          <w:highlight w:val="none"/>
        </w:rPr>
        <w:t>。</w:t>
      </w:r>
    </w:p>
    <w:p>
      <w:pPr>
        <w:pStyle w:val="23"/>
        <w:rPr>
          <w:rFonts w:hint="default"/>
          <w:b/>
          <w:bCs/>
          <w:color w:val="auto"/>
          <w:highlight w:val="none"/>
          <w:lang w:val="en-US" w:eastAsia="zh-CN"/>
        </w:rPr>
      </w:pPr>
      <w:r>
        <w:rPr>
          <w:rFonts w:hint="eastAsia"/>
          <w:b/>
          <w:bCs/>
          <w:color w:val="auto"/>
          <w:highlight w:val="none"/>
          <w:lang w:val="en-US" w:eastAsia="zh-CN"/>
        </w:rPr>
        <w:t>（2）原合同范围内变更单价原则：</w:t>
      </w:r>
    </w:p>
    <w:p>
      <w:pPr>
        <w:pStyle w:val="23"/>
        <w:keepNext w:val="0"/>
        <w:keepLines w:val="0"/>
        <w:pageBreakBefore w:val="0"/>
        <w:widowControl w:val="0"/>
        <w:kinsoku/>
        <w:wordWrap/>
        <w:overflowPunct/>
        <w:topLinePunct w:val="0"/>
        <w:autoSpaceDE/>
        <w:autoSpaceDN/>
        <w:bidi w:val="0"/>
        <w:adjustRightInd/>
        <w:snapToGrid/>
        <w:ind w:firstLine="972" w:firstLineChars="400"/>
        <w:textAlignment w:val="auto"/>
        <w:rPr>
          <w:color w:val="auto"/>
          <w:highlight w:val="none"/>
          <w:u w:val="single"/>
        </w:rPr>
      </w:pPr>
      <w:r>
        <w:rPr>
          <w:color w:val="auto"/>
          <w:highlight w:val="none"/>
          <w:u w:val="single"/>
        </w:rPr>
        <w:t>1</w:t>
      </w:r>
      <w:r>
        <w:rPr>
          <w:rFonts w:hint="eastAsia"/>
          <w:color w:val="auto"/>
          <w:highlight w:val="none"/>
          <w:u w:val="single"/>
        </w:rPr>
        <w:t>）已标价工程量清单有相同项目的，按照相同项目单价认定。</w:t>
      </w:r>
    </w:p>
    <w:p>
      <w:pPr>
        <w:pStyle w:val="23"/>
        <w:keepNext w:val="0"/>
        <w:keepLines w:val="0"/>
        <w:pageBreakBefore w:val="0"/>
        <w:widowControl w:val="0"/>
        <w:kinsoku/>
        <w:wordWrap/>
        <w:overflowPunct/>
        <w:topLinePunct w:val="0"/>
        <w:autoSpaceDE/>
        <w:autoSpaceDN/>
        <w:bidi w:val="0"/>
        <w:adjustRightInd/>
        <w:snapToGrid/>
        <w:ind w:firstLine="972" w:firstLineChars="400"/>
        <w:textAlignment w:val="auto"/>
        <w:rPr>
          <w:color w:val="auto"/>
          <w:highlight w:val="none"/>
          <w:u w:val="single"/>
        </w:rPr>
      </w:pPr>
      <w:r>
        <w:rPr>
          <w:color w:val="auto"/>
          <w:highlight w:val="none"/>
          <w:u w:val="single"/>
        </w:rPr>
        <w:t>2</w:t>
      </w:r>
      <w:r>
        <w:rPr>
          <w:rFonts w:hint="eastAsia"/>
          <w:color w:val="auto"/>
          <w:highlight w:val="none"/>
          <w:u w:val="single"/>
        </w:rPr>
        <w:t>）已标价工程量清单无相同项目，但有类似项目的，</w:t>
      </w:r>
      <w:r>
        <w:rPr>
          <w:rFonts w:hint="eastAsia"/>
          <w:color w:val="auto"/>
          <w:highlight w:val="none"/>
          <w:u w:val="single"/>
          <w:lang w:val="en-US" w:eastAsia="zh-CN"/>
        </w:rPr>
        <w:t>合理</w:t>
      </w:r>
      <w:r>
        <w:rPr>
          <w:rFonts w:hint="eastAsia"/>
          <w:color w:val="auto"/>
          <w:highlight w:val="none"/>
          <w:u w:val="single"/>
        </w:rPr>
        <w:t>参照类似项目的单价认定。</w:t>
      </w:r>
    </w:p>
    <w:p>
      <w:pPr>
        <w:pStyle w:val="23"/>
        <w:keepNext w:val="0"/>
        <w:keepLines w:val="0"/>
        <w:pageBreakBefore w:val="0"/>
        <w:widowControl w:val="0"/>
        <w:kinsoku/>
        <w:wordWrap/>
        <w:overflowPunct/>
        <w:topLinePunct w:val="0"/>
        <w:autoSpaceDE/>
        <w:autoSpaceDN/>
        <w:bidi w:val="0"/>
        <w:adjustRightInd/>
        <w:snapToGrid/>
        <w:ind w:firstLine="972" w:firstLineChars="400"/>
        <w:textAlignment w:val="auto"/>
        <w:rPr>
          <w:color w:val="auto"/>
          <w:highlight w:val="none"/>
          <w:u w:val="single"/>
        </w:rPr>
      </w:pPr>
      <w:r>
        <w:rPr>
          <w:rFonts w:hint="eastAsia"/>
          <w:color w:val="auto"/>
          <w:highlight w:val="none"/>
          <w:u w:val="single"/>
          <w:lang w:val="en-US" w:eastAsia="zh-CN"/>
        </w:rPr>
        <w:t>3</w:t>
      </w:r>
      <w:r>
        <w:rPr>
          <w:rFonts w:hint="eastAsia"/>
          <w:color w:val="auto"/>
          <w:highlight w:val="none"/>
          <w:u w:val="single"/>
        </w:rPr>
        <w:t>）因设计变更及签证导致工程量增减，按相同工程量清单项目综合单价执行，调整工程量。</w:t>
      </w:r>
    </w:p>
    <w:p>
      <w:pPr>
        <w:pStyle w:val="23"/>
        <w:keepNext w:val="0"/>
        <w:keepLines w:val="0"/>
        <w:pageBreakBefore w:val="0"/>
        <w:widowControl w:val="0"/>
        <w:kinsoku/>
        <w:wordWrap/>
        <w:overflowPunct/>
        <w:topLinePunct w:val="0"/>
        <w:autoSpaceDE/>
        <w:autoSpaceDN/>
        <w:bidi w:val="0"/>
        <w:adjustRightInd/>
        <w:snapToGrid/>
        <w:ind w:firstLine="972" w:firstLineChars="400"/>
        <w:textAlignment w:val="auto"/>
        <w:rPr>
          <w:rFonts w:hint="eastAsia"/>
          <w:color w:val="auto"/>
          <w:highlight w:val="none"/>
          <w:u w:val="single"/>
        </w:rPr>
      </w:pPr>
      <w:r>
        <w:rPr>
          <w:rFonts w:hint="eastAsia"/>
          <w:color w:val="auto"/>
          <w:highlight w:val="none"/>
          <w:u w:val="single"/>
          <w:lang w:val="en-US" w:eastAsia="zh-CN"/>
        </w:rPr>
        <w:t>4</w:t>
      </w:r>
      <w:r>
        <w:rPr>
          <w:rFonts w:hint="eastAsia"/>
          <w:color w:val="auto"/>
          <w:highlight w:val="none"/>
          <w:u w:val="single"/>
        </w:rPr>
        <w:t>）因设计变更及签证导致缺项</w:t>
      </w:r>
      <w:r>
        <w:rPr>
          <w:rFonts w:hint="eastAsia"/>
          <w:color w:val="auto"/>
          <w:highlight w:val="none"/>
          <w:u w:val="single"/>
          <w:lang w:val="en-US" w:eastAsia="zh-CN"/>
        </w:rPr>
        <w:t>或做法变更</w:t>
      </w:r>
      <w:r>
        <w:rPr>
          <w:rFonts w:hint="eastAsia"/>
          <w:color w:val="auto"/>
          <w:highlight w:val="none"/>
          <w:u w:val="single"/>
        </w:rPr>
        <w:t>的，有类似工程量清单项目的，参照类似项目的</w:t>
      </w:r>
      <w:r>
        <w:rPr>
          <w:rFonts w:hint="eastAsia"/>
          <w:color w:val="auto"/>
          <w:highlight w:val="none"/>
          <w:u w:val="single"/>
          <w:lang w:val="en-US" w:eastAsia="zh-CN"/>
        </w:rPr>
        <w:t>已标价</w:t>
      </w:r>
      <w:r>
        <w:rPr>
          <w:rFonts w:hint="eastAsia"/>
          <w:color w:val="auto"/>
          <w:highlight w:val="none"/>
          <w:u w:val="single"/>
        </w:rPr>
        <w:t>综合单价认定；无类似工程量清单项目的，</w:t>
      </w:r>
      <w:r>
        <w:rPr>
          <w:rFonts w:hint="eastAsia"/>
          <w:color w:val="auto"/>
          <w:highlight w:val="none"/>
          <w:u w:val="single"/>
          <w:lang w:val="en-US" w:eastAsia="zh-CN"/>
        </w:rPr>
        <w:t>由乙方报价，甲方审批后确认。</w:t>
      </w:r>
    </w:p>
    <w:p>
      <w:pPr>
        <w:pStyle w:val="23"/>
        <w:keepNext w:val="0"/>
        <w:keepLines w:val="0"/>
        <w:pageBreakBefore w:val="0"/>
        <w:widowControl w:val="0"/>
        <w:kinsoku/>
        <w:wordWrap/>
        <w:overflowPunct/>
        <w:topLinePunct w:val="0"/>
        <w:autoSpaceDE/>
        <w:autoSpaceDN/>
        <w:bidi w:val="0"/>
        <w:adjustRightInd/>
        <w:snapToGrid/>
        <w:ind w:firstLine="972" w:firstLineChars="400"/>
        <w:textAlignment w:val="auto"/>
        <w:rPr>
          <w:rFonts w:hint="eastAsia"/>
          <w:color w:val="auto"/>
          <w:highlight w:val="none"/>
          <w:u w:val="single"/>
        </w:rPr>
      </w:pPr>
      <w:r>
        <w:rPr>
          <w:rFonts w:hint="eastAsia"/>
          <w:color w:val="auto"/>
          <w:highlight w:val="none"/>
          <w:u w:val="single"/>
          <w:lang w:val="en-US" w:eastAsia="zh-CN"/>
        </w:rPr>
        <w:t>5</w:t>
      </w:r>
      <w:r>
        <w:rPr>
          <w:rFonts w:hint="eastAsia"/>
          <w:color w:val="auto"/>
          <w:highlight w:val="none"/>
          <w:u w:val="single"/>
        </w:rPr>
        <w:t>）因设计变更及签证导致工程量清单项目取消，按取消项目的投标报价扣减金额。</w:t>
      </w:r>
    </w:p>
    <w:p>
      <w:pPr>
        <w:pageBreakBefore w:val="0"/>
        <w:tabs>
          <w:tab w:val="right" w:pos="8306"/>
        </w:tabs>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19.</w:t>
      </w:r>
      <w:r>
        <w:rPr>
          <w:rFonts w:hint="eastAsia" w:ascii="仿宋_GB2312" w:hAnsi="仿宋" w:eastAsia="仿宋_GB2312" w:cs="仿宋"/>
          <w:color w:val="auto"/>
          <w:sz w:val="24"/>
          <w:szCs w:val="24"/>
          <w:highlight w:val="none"/>
        </w:rPr>
        <w:t>8因分包人施工的工程质量、进度和安全文明无法满足要求，承包人指定其他分包人完成本合同内的相关工作时，相应款项按发生的实际金额扣减。</w:t>
      </w:r>
    </w:p>
    <w:p>
      <w:pPr>
        <w:pageBreakBefore w:val="0"/>
        <w:tabs>
          <w:tab w:val="right" w:pos="8306"/>
        </w:tabs>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19.9现场签证：所有设计变更及签证，分包人应统一编号后全部按承包人认可为准。签证单必须在规定时间内完成签证手续，现场签证管理详见《合同签证管理要求》。</w:t>
      </w:r>
    </w:p>
    <w:p>
      <w:pPr>
        <w:pageBreakBefore w:val="0"/>
        <w:tabs>
          <w:tab w:val="right" w:pos="8306"/>
        </w:tabs>
        <w:kinsoku/>
        <w:wordWrap/>
        <w:overflowPunct/>
        <w:topLinePunct w:val="0"/>
        <w:bidi w:val="0"/>
        <w:spacing w:line="360" w:lineRule="auto"/>
        <w:ind w:firstLine="486" w:firstLineChars="200"/>
        <w:rPr>
          <w:color w:val="auto"/>
          <w:highlight w:val="none"/>
        </w:rPr>
      </w:pPr>
      <w:r>
        <w:rPr>
          <w:rFonts w:hint="eastAsia" w:ascii="仿宋_GB2312" w:hAnsi="仿宋" w:eastAsia="仿宋_GB2312" w:cs="仿宋"/>
          <w:color w:val="auto"/>
          <w:sz w:val="24"/>
          <w:szCs w:val="24"/>
          <w:highlight w:val="none"/>
        </w:rPr>
        <w:t>19.10双方约定合同价款的其他调整因素：</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合同工程量发生变更增减的，需按照原合同文本审批流经审批后签订补充协议，否则签订的补充协议无效。</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 xml:space="preserve">  </w:t>
      </w:r>
      <w:r>
        <w:rPr>
          <w:rFonts w:hint="eastAsia"/>
          <w:color w:val="auto"/>
          <w:highlight w:val="none"/>
        </w:rPr>
        <w:t xml:space="preserve">       </w:t>
      </w:r>
    </w:p>
    <w:p>
      <w:pPr>
        <w:pageBreakBefore w:val="0"/>
        <w:kinsoku/>
        <w:wordWrap/>
        <w:overflowPunct/>
        <w:topLinePunct w:val="0"/>
        <w:bidi w:val="0"/>
        <w:spacing w:line="360" w:lineRule="auto"/>
        <w:ind w:firstLine="486" w:firstLineChars="200"/>
        <w:outlineLvl w:val="3"/>
        <w:rPr>
          <w:rFonts w:hint="eastAsia" w:ascii="仿宋_GB2312" w:hAnsi="仿宋" w:eastAsia="仿宋_GB2312" w:cs="仿宋"/>
          <w:b/>
          <w:color w:val="auto"/>
          <w:kern w:val="0"/>
          <w:sz w:val="24"/>
          <w:szCs w:val="24"/>
          <w:highlight w:val="none"/>
        </w:rPr>
      </w:pPr>
      <w:r>
        <w:rPr>
          <w:rFonts w:hint="eastAsia" w:ascii="仿宋_GB2312" w:hAnsi="仿宋" w:eastAsia="仿宋_GB2312" w:cs="仿宋"/>
          <w:b/>
          <w:color w:val="auto"/>
          <w:kern w:val="0"/>
          <w:sz w:val="24"/>
          <w:szCs w:val="24"/>
          <w:highlight w:val="none"/>
        </w:rPr>
        <w:t>20．工程量确认</w:t>
      </w:r>
    </w:p>
    <w:p>
      <w:pPr>
        <w:pStyle w:val="34"/>
        <w:pageBreakBefore w:val="0"/>
        <w:widowControl/>
        <w:kinsoku/>
        <w:wordWrap/>
        <w:overflowPunct/>
        <w:topLinePunct w:val="0"/>
        <w:bidi w:val="0"/>
        <w:spacing w:line="360" w:lineRule="auto"/>
        <w:ind w:firstLine="486" w:firstLineChars="200"/>
        <w:jc w:val="left"/>
        <w:rPr>
          <w:rFonts w:hint="eastAsia" w:ascii="仿宋_GB2312" w:hAnsi="仿宋_GB2312" w:eastAsia="仿宋_GB2312" w:cs="仿宋_GB2312"/>
          <w:color w:val="auto"/>
          <w:sz w:val="24"/>
          <w:szCs w:val="24"/>
          <w:highlight w:val="none"/>
        </w:rPr>
      </w:pPr>
      <w:r>
        <w:rPr>
          <w:rFonts w:ascii="仿宋_GB2312" w:hAnsi="仿宋" w:eastAsia="仿宋_GB2312" w:cs="仿宋"/>
          <w:color w:val="auto"/>
          <w:szCs w:val="24"/>
          <w:highlight w:val="none"/>
        </w:rPr>
        <w:t>2</w:t>
      </w:r>
      <w:r>
        <w:rPr>
          <w:rFonts w:ascii="仿宋_GB2312" w:hAnsi="仿宋" w:eastAsia="仿宋_GB2312" w:cs="仿宋"/>
          <w:color w:val="auto"/>
          <w:sz w:val="24"/>
          <w:szCs w:val="24"/>
          <w:highlight w:val="none"/>
        </w:rPr>
        <w:t>0.</w:t>
      </w:r>
      <w:r>
        <w:rPr>
          <w:rFonts w:hint="eastAsia" w:ascii="仿宋_GB2312" w:hAnsi="仿宋" w:eastAsia="仿宋_GB2312" w:cs="仿宋"/>
          <w:color w:val="auto"/>
          <w:sz w:val="24"/>
          <w:szCs w:val="24"/>
          <w:highlight w:val="none"/>
        </w:rPr>
        <w:t>3</w:t>
      </w:r>
      <w:r>
        <w:rPr>
          <w:rFonts w:ascii="仿宋_GB2312" w:hAnsi="仿宋" w:eastAsia="仿宋_GB2312" w:cs="仿宋"/>
          <w:color w:val="auto"/>
          <w:sz w:val="24"/>
          <w:szCs w:val="24"/>
          <w:highlight w:val="none"/>
        </w:rPr>
        <w:t xml:space="preserve"> </w:t>
      </w:r>
      <w:r>
        <w:rPr>
          <w:rFonts w:hint="eastAsia" w:ascii="仿宋_GB2312" w:hAnsi="仿宋" w:eastAsia="仿宋_GB2312" w:cs="仿宋"/>
          <w:color w:val="auto"/>
          <w:sz w:val="24"/>
          <w:szCs w:val="24"/>
          <w:highlight w:val="none"/>
        </w:rPr>
        <w:t>分包人向承包人提交已完工程量报告的时间：</w:t>
      </w:r>
      <w:r>
        <w:rPr>
          <w:rFonts w:hint="eastAsia" w:ascii="仿宋_GB2312" w:hAnsi="仿宋" w:eastAsia="仿宋_GB2312" w:cs="仿宋"/>
          <w:color w:val="auto"/>
          <w:sz w:val="24"/>
          <w:szCs w:val="24"/>
          <w:highlight w:val="none"/>
          <w:u w:val="single"/>
        </w:rPr>
        <w:t>分包人每月</w:t>
      </w:r>
      <w:r>
        <w:rPr>
          <w:rFonts w:ascii="仿宋_GB2312" w:hAnsi="仿宋" w:eastAsia="仿宋_GB2312" w:cs="仿宋"/>
          <w:color w:val="auto"/>
          <w:sz w:val="24"/>
          <w:szCs w:val="24"/>
          <w:highlight w:val="none"/>
          <w:u w:val="single"/>
        </w:rPr>
        <w:t>2</w:t>
      </w:r>
      <w:r>
        <w:rPr>
          <w:rFonts w:hint="eastAsia" w:ascii="仿宋_GB2312" w:hAnsi="仿宋" w:eastAsia="仿宋_GB2312" w:cs="仿宋"/>
          <w:color w:val="auto"/>
          <w:sz w:val="24"/>
          <w:szCs w:val="24"/>
          <w:highlight w:val="none"/>
          <w:u w:val="single"/>
          <w:lang w:val="en-US" w:eastAsia="zh-CN"/>
        </w:rPr>
        <w:t>0</w:t>
      </w:r>
      <w:r>
        <w:rPr>
          <w:rFonts w:hint="eastAsia" w:ascii="仿宋_GB2312" w:hAnsi="仿宋" w:eastAsia="仿宋_GB2312" w:cs="仿宋"/>
          <w:color w:val="auto"/>
          <w:sz w:val="24"/>
          <w:szCs w:val="24"/>
          <w:highlight w:val="none"/>
          <w:u w:val="single"/>
        </w:rPr>
        <w:t>日前报送本月（上月</w:t>
      </w:r>
      <w:r>
        <w:rPr>
          <w:rFonts w:ascii="仿宋_GB2312" w:hAnsi="仿宋" w:eastAsia="仿宋_GB2312" w:cs="仿宋"/>
          <w:color w:val="auto"/>
          <w:sz w:val="24"/>
          <w:szCs w:val="24"/>
          <w:highlight w:val="none"/>
          <w:u w:val="single"/>
        </w:rPr>
        <w:t>21</w:t>
      </w:r>
      <w:r>
        <w:rPr>
          <w:rFonts w:hint="eastAsia" w:ascii="仿宋_GB2312" w:hAnsi="仿宋" w:eastAsia="仿宋_GB2312" w:cs="仿宋"/>
          <w:color w:val="auto"/>
          <w:sz w:val="24"/>
          <w:szCs w:val="24"/>
          <w:highlight w:val="none"/>
          <w:u w:val="single"/>
        </w:rPr>
        <w:t>日至本月</w:t>
      </w:r>
      <w:r>
        <w:rPr>
          <w:rFonts w:ascii="仿宋_GB2312" w:hAnsi="仿宋" w:eastAsia="仿宋_GB2312" w:cs="仿宋"/>
          <w:color w:val="auto"/>
          <w:sz w:val="24"/>
          <w:szCs w:val="24"/>
          <w:highlight w:val="none"/>
          <w:u w:val="single"/>
        </w:rPr>
        <w:t>20</w:t>
      </w:r>
      <w:r>
        <w:rPr>
          <w:rFonts w:hint="eastAsia" w:ascii="仿宋_GB2312" w:hAnsi="仿宋" w:eastAsia="仿宋_GB2312" w:cs="仿宋"/>
          <w:color w:val="auto"/>
          <w:sz w:val="24"/>
          <w:szCs w:val="24"/>
          <w:highlight w:val="none"/>
          <w:u w:val="single"/>
        </w:rPr>
        <w:t>日）完成工作量的报表</w:t>
      </w:r>
      <w:r>
        <w:rPr>
          <w:rFonts w:hint="eastAsia" w:ascii="仿宋_GB2312" w:hAnsi="仿宋" w:eastAsia="仿宋_GB2312" w:cs="仿宋"/>
          <w:color w:val="auto"/>
          <w:sz w:val="24"/>
          <w:szCs w:val="24"/>
          <w:highlight w:val="none"/>
          <w:u w:val="single"/>
          <w:lang w:eastAsia="zh-CN"/>
        </w:rPr>
        <w:t>。</w:t>
      </w:r>
    </w:p>
    <w:p>
      <w:pPr>
        <w:pageBreakBefore w:val="0"/>
        <w:kinsoku/>
        <w:wordWrap/>
        <w:overflowPunct/>
        <w:topLinePunct w:val="0"/>
        <w:bidi w:val="0"/>
        <w:spacing w:line="360" w:lineRule="auto"/>
        <w:ind w:firstLine="486" w:firstLineChars="200"/>
        <w:outlineLvl w:val="3"/>
        <w:rPr>
          <w:rFonts w:hint="eastAsia" w:ascii="仿宋_GB2312" w:hAnsi="仿宋" w:eastAsia="仿宋_GB2312" w:cs="仿宋"/>
          <w:b/>
          <w:color w:val="auto"/>
          <w:kern w:val="0"/>
          <w:sz w:val="24"/>
          <w:szCs w:val="24"/>
          <w:highlight w:val="none"/>
        </w:rPr>
      </w:pPr>
      <w:bookmarkStart w:id="820" w:name="_Toc11922697"/>
      <w:bookmarkStart w:id="821" w:name="_Toc11922790"/>
      <w:r>
        <w:rPr>
          <w:rFonts w:hint="eastAsia" w:ascii="仿宋_GB2312" w:hAnsi="仿宋" w:eastAsia="仿宋_GB2312" w:cs="仿宋"/>
          <w:b/>
          <w:color w:val="auto"/>
          <w:kern w:val="0"/>
          <w:sz w:val="24"/>
          <w:szCs w:val="24"/>
          <w:highlight w:val="none"/>
        </w:rPr>
        <w:t>21．合同价款的支付</w:t>
      </w:r>
      <w:bookmarkEnd w:id="820"/>
      <w:bookmarkEnd w:id="821"/>
    </w:p>
    <w:p>
      <w:pPr>
        <w:pageBreakBefore w:val="0"/>
        <w:kinsoku/>
        <w:wordWrap/>
        <w:overflowPunct/>
        <w:topLinePunct w:val="0"/>
        <w:bidi w:val="0"/>
        <w:spacing w:line="360" w:lineRule="auto"/>
        <w:ind w:firstLine="435"/>
        <w:rPr>
          <w:rFonts w:ascii="仿宋_GB2312" w:hAnsi="仿宋" w:eastAsia="仿宋_GB2312" w:cs="仿宋"/>
          <w:color w:val="auto"/>
          <w:sz w:val="24"/>
          <w:szCs w:val="24"/>
          <w:highlight w:val="none"/>
          <w:u w:val="single"/>
        </w:rPr>
      </w:pPr>
      <w:r>
        <w:rPr>
          <w:rFonts w:ascii="仿宋_GB2312" w:hAnsi="仿宋" w:eastAsia="仿宋_GB2312" w:cs="仿宋"/>
          <w:color w:val="auto"/>
          <w:sz w:val="24"/>
          <w:szCs w:val="24"/>
          <w:highlight w:val="none"/>
        </w:rPr>
        <w:t xml:space="preserve">21.1 </w:t>
      </w:r>
      <w:r>
        <w:rPr>
          <w:rFonts w:hint="eastAsia" w:ascii="仿宋_GB2312" w:hAnsi="仿宋" w:eastAsia="仿宋_GB2312" w:cs="仿宋"/>
          <w:color w:val="auto"/>
          <w:sz w:val="24"/>
          <w:szCs w:val="24"/>
          <w:highlight w:val="none"/>
        </w:rPr>
        <w:t>承包人向分包人预付工程款的时间和数额：</w:t>
      </w:r>
      <w:r>
        <w:rPr>
          <w:rFonts w:ascii="仿宋_GB2312" w:hAnsi="仿宋" w:eastAsia="仿宋_GB2312" w:cs="仿宋"/>
          <w:color w:val="auto"/>
          <w:sz w:val="24"/>
          <w:szCs w:val="24"/>
          <w:highlight w:val="none"/>
          <w:u w:val="single"/>
        </w:rPr>
        <w:tab/>
      </w:r>
      <w:r>
        <w:rPr>
          <w:rFonts w:ascii="仿宋_GB2312" w:hAnsi="仿宋" w:eastAsia="仿宋_GB2312" w:cs="仿宋"/>
          <w:color w:val="auto"/>
          <w:sz w:val="24"/>
          <w:szCs w:val="24"/>
          <w:highlight w:val="none"/>
          <w:u w:val="single"/>
        </w:rPr>
        <w:tab/>
      </w:r>
      <w:r>
        <w:rPr>
          <w:rFonts w:hint="eastAsia" w:ascii="仿宋_GB2312" w:hAnsi="仿宋" w:eastAsia="仿宋_GB2312" w:cs="仿宋"/>
          <w:color w:val="auto"/>
          <w:sz w:val="24"/>
          <w:szCs w:val="24"/>
          <w:highlight w:val="none"/>
          <w:u w:val="single"/>
          <w:lang w:val="en-US" w:eastAsia="zh-CN"/>
        </w:rPr>
        <w:t>/</w:t>
      </w:r>
      <w:r>
        <w:rPr>
          <w:rFonts w:ascii="仿宋_GB2312" w:hAnsi="仿宋" w:eastAsia="仿宋_GB2312" w:cs="仿宋"/>
          <w:color w:val="auto"/>
          <w:sz w:val="24"/>
          <w:szCs w:val="24"/>
          <w:highlight w:val="none"/>
          <w:u w:val="single"/>
        </w:rPr>
        <w:tab/>
      </w:r>
      <w:r>
        <w:rPr>
          <w:rFonts w:ascii="仿宋_GB2312" w:hAnsi="仿宋" w:eastAsia="仿宋_GB2312" w:cs="仿宋"/>
          <w:color w:val="auto"/>
          <w:sz w:val="24"/>
          <w:szCs w:val="24"/>
          <w:highlight w:val="none"/>
          <w:u w:val="single"/>
        </w:rPr>
        <w:tab/>
      </w:r>
    </w:p>
    <w:p>
      <w:pPr>
        <w:pageBreakBefore w:val="0"/>
        <w:kinsoku/>
        <w:wordWrap/>
        <w:overflowPunct/>
        <w:topLinePunct w:val="0"/>
        <w:bidi w:val="0"/>
        <w:spacing w:line="360" w:lineRule="auto"/>
        <w:ind w:firstLine="435"/>
        <w:rPr>
          <w:rFonts w:ascii="仿宋_GB2312" w:hAnsi="仿宋" w:eastAsia="仿宋_GB2312" w:cs="仿宋"/>
          <w:color w:val="auto"/>
          <w:sz w:val="24"/>
          <w:szCs w:val="24"/>
          <w:highlight w:val="none"/>
          <w:u w:val="single"/>
        </w:rPr>
      </w:pPr>
      <w:r>
        <w:rPr>
          <w:rFonts w:hint="eastAsia" w:ascii="仿宋_GB2312" w:hAnsi="仿宋" w:eastAsia="仿宋_GB2312" w:cs="仿宋"/>
          <w:color w:val="auto"/>
          <w:sz w:val="24"/>
          <w:szCs w:val="24"/>
          <w:highlight w:val="none"/>
        </w:rPr>
        <w:t>扣回时间和比例：</w:t>
      </w:r>
      <w:r>
        <w:rPr>
          <w:rFonts w:ascii="仿宋_GB2312" w:hAnsi="仿宋" w:eastAsia="仿宋_GB2312" w:cs="仿宋"/>
          <w:color w:val="auto"/>
          <w:sz w:val="24"/>
          <w:szCs w:val="24"/>
          <w:highlight w:val="none"/>
          <w:u w:val="single"/>
        </w:rPr>
        <w:tab/>
      </w:r>
      <w:r>
        <w:rPr>
          <w:rFonts w:ascii="仿宋_GB2312" w:hAnsi="仿宋" w:eastAsia="仿宋_GB2312" w:cs="仿宋"/>
          <w:color w:val="auto"/>
          <w:sz w:val="24"/>
          <w:szCs w:val="24"/>
          <w:highlight w:val="none"/>
          <w:u w:val="single"/>
        </w:rPr>
        <w:tab/>
      </w:r>
      <w:r>
        <w:rPr>
          <w:rFonts w:hint="eastAsia" w:ascii="仿宋_GB2312" w:hAnsi="仿宋" w:eastAsia="仿宋_GB2312" w:cs="仿宋"/>
          <w:color w:val="auto"/>
          <w:sz w:val="24"/>
          <w:szCs w:val="24"/>
          <w:highlight w:val="none"/>
          <w:u w:val="single"/>
          <w:lang w:val="en-US" w:eastAsia="zh-CN"/>
        </w:rPr>
        <w:t>/</w:t>
      </w:r>
      <w:r>
        <w:rPr>
          <w:rFonts w:ascii="仿宋_GB2312" w:hAnsi="仿宋" w:eastAsia="仿宋_GB2312" w:cs="仿宋"/>
          <w:color w:val="auto"/>
          <w:sz w:val="24"/>
          <w:szCs w:val="24"/>
          <w:highlight w:val="none"/>
          <w:u w:val="single"/>
        </w:rPr>
        <w:tab/>
      </w:r>
    </w:p>
    <w:p>
      <w:pPr>
        <w:pStyle w:val="9"/>
        <w:pageBreakBefore w:val="0"/>
        <w:kinsoku/>
        <w:wordWrap/>
        <w:overflowPunct/>
        <w:topLinePunct w:val="0"/>
        <w:bidi w:val="0"/>
        <w:adjustRightInd w:val="0"/>
        <w:snapToGrid w:val="0"/>
        <w:spacing w:line="360" w:lineRule="auto"/>
        <w:ind w:firstLine="486" w:firstLineChars="200"/>
        <w:jc w:val="both"/>
        <w:rPr>
          <w:rFonts w:hint="eastAsia" w:ascii="仿宋_GB2312" w:hAnsi="仿宋_GB2312" w:eastAsia="仿宋_GB2312" w:cs="仿宋_GB2312"/>
          <w:color w:val="auto"/>
          <w:sz w:val="24"/>
          <w:szCs w:val="24"/>
          <w:highlight w:val="none"/>
        </w:rPr>
      </w:pPr>
      <w:r>
        <w:rPr>
          <w:rFonts w:ascii="仿宋_GB2312" w:hAnsi="仿宋" w:eastAsia="仿宋_GB2312" w:cs="仿宋"/>
          <w:color w:val="auto"/>
          <w:sz w:val="24"/>
          <w:szCs w:val="24"/>
          <w:highlight w:val="none"/>
        </w:rPr>
        <w:t xml:space="preserve">21.2 </w:t>
      </w:r>
      <w:r>
        <w:rPr>
          <w:rFonts w:hint="eastAsia" w:ascii="仿宋_GB2312" w:hAnsi="仿宋" w:eastAsia="仿宋_GB2312" w:cs="仿宋"/>
          <w:color w:val="auto"/>
          <w:sz w:val="24"/>
          <w:szCs w:val="24"/>
          <w:highlight w:val="none"/>
        </w:rPr>
        <w:t>承包人向分包人支付工程款（进度款）的时间和方式：</w:t>
      </w:r>
      <w:r>
        <w:rPr>
          <w:rFonts w:hint="eastAsia" w:ascii="仿宋_GB2312" w:hAnsi="仿宋_GB2312" w:eastAsia="仿宋_GB2312" w:cs="仿宋_GB2312"/>
          <w:color w:val="auto"/>
          <w:sz w:val="24"/>
          <w:szCs w:val="24"/>
          <w:highlight w:val="none"/>
        </w:rPr>
        <w:t xml:space="preserve"> </w:t>
      </w:r>
    </w:p>
    <w:p>
      <w:pPr>
        <w:pStyle w:val="9"/>
        <w:pageBreakBefore w:val="0"/>
        <w:kinsoku/>
        <w:wordWrap/>
        <w:overflowPunct/>
        <w:topLinePunct w:val="0"/>
        <w:bidi w:val="0"/>
        <w:adjustRightInd w:val="0"/>
        <w:snapToGrid w:val="0"/>
        <w:spacing w:line="360" w:lineRule="auto"/>
        <w:ind w:firstLine="486" w:firstLineChars="200"/>
        <w:jc w:val="both"/>
        <w:rPr>
          <w:rFonts w:hint="eastAsia" w:ascii="仿宋_GB2312" w:hAnsi="仿宋_GB2312" w:eastAsia="仿宋_GB2312" w:cs="仿宋_GB2312"/>
          <w:color w:val="auto"/>
          <w:sz w:val="24"/>
          <w:szCs w:val="24"/>
          <w:highlight w:val="none"/>
        </w:rPr>
      </w:pPr>
      <w:r>
        <w:rPr>
          <w:rFonts w:ascii="仿宋_GB2312" w:hAnsi="仿宋" w:eastAsia="仿宋_GB2312" w:cs="仿宋"/>
          <w:color w:val="auto"/>
          <w:sz w:val="24"/>
          <w:szCs w:val="24"/>
          <w:highlight w:val="none"/>
        </w:rPr>
        <w:t xml:space="preserve">21.2 </w:t>
      </w:r>
      <w:r>
        <w:rPr>
          <w:rFonts w:hint="eastAsia" w:ascii="仿宋_GB2312" w:hAnsi="仿宋" w:eastAsia="仿宋_GB2312" w:cs="仿宋"/>
          <w:color w:val="auto"/>
          <w:sz w:val="24"/>
          <w:szCs w:val="24"/>
          <w:highlight w:val="none"/>
        </w:rPr>
        <w:t>承包人向分包人支付工程款（进度款）的时间和方式：</w:t>
      </w:r>
      <w:r>
        <w:rPr>
          <w:rFonts w:hint="eastAsia" w:ascii="仿宋_GB2312" w:hAnsi="仿宋_GB2312" w:eastAsia="仿宋_GB2312" w:cs="仿宋_GB2312"/>
          <w:color w:val="auto"/>
          <w:sz w:val="24"/>
          <w:szCs w:val="24"/>
          <w:highlight w:val="none"/>
        </w:rPr>
        <w:t xml:space="preserve"> </w:t>
      </w:r>
    </w:p>
    <w:p>
      <w:pPr>
        <w:pStyle w:val="9"/>
        <w:pageBreakBefore w:val="0"/>
        <w:kinsoku/>
        <w:wordWrap/>
        <w:overflowPunct/>
        <w:topLinePunct w:val="0"/>
        <w:bidi w:val="0"/>
        <w:adjustRightInd w:val="0"/>
        <w:snapToGrid w:val="0"/>
        <w:spacing w:line="360" w:lineRule="auto"/>
        <w:ind w:firstLine="486" w:firstLineChars="200"/>
        <w:jc w:val="both"/>
        <w:rPr>
          <w:rFonts w:hint="eastAsia" w:ascii="仿宋_GB2312" w:hAnsi="仿宋_GB2312" w:eastAsia="仿宋_GB2312" w:cs="仿宋_GB2312"/>
          <w:b w:val="0"/>
          <w:bCs/>
          <w:color w:val="auto"/>
          <w:kern w:val="2"/>
          <w:sz w:val="24"/>
          <w:szCs w:val="24"/>
          <w:highlight w:val="none"/>
          <w:u w:val="single"/>
          <w:lang w:val="en-US" w:eastAsia="zh-CN" w:bidi="ar-SA"/>
        </w:rPr>
      </w:pPr>
      <w:r>
        <w:rPr>
          <w:rFonts w:hint="eastAsia" w:ascii="仿宋_GB2312" w:hAnsi="仿宋_GB2312" w:eastAsia="仿宋_GB2312" w:cs="仿宋_GB2312"/>
          <w:color w:val="auto"/>
          <w:sz w:val="24"/>
          <w:szCs w:val="24"/>
          <w:highlight w:val="none"/>
          <w:lang w:eastAsia="zh-CN"/>
        </w:rPr>
        <w:t>（1）</w:t>
      </w:r>
      <w:r>
        <w:rPr>
          <w:rFonts w:hint="eastAsia" w:ascii="仿宋_GB2312" w:hAnsi="仿宋_GB2312" w:eastAsia="仿宋_GB2312" w:cs="仿宋_GB2312"/>
          <w:b w:val="0"/>
          <w:bCs/>
          <w:color w:val="auto"/>
          <w:kern w:val="2"/>
          <w:sz w:val="24"/>
          <w:szCs w:val="24"/>
          <w:highlight w:val="none"/>
          <w:u w:val="single"/>
          <w:lang w:val="en-US" w:eastAsia="zh-CN" w:bidi="ar-SA"/>
        </w:rPr>
        <w:t>工程进度款按每月完成产值的70%进行支付，具体支付方式按专用条款21.7款执行；工程完工，农民工工资全部结清、办完退场手续后，付至结算金额的 90%；竣工验收后待工程结算完成后工程款支付至97 %，剩余3%作为质保金在质保期满后无息支付。</w:t>
      </w:r>
    </w:p>
    <w:p>
      <w:pPr>
        <w:pStyle w:val="9"/>
        <w:pageBreakBefore w:val="0"/>
        <w:kinsoku/>
        <w:wordWrap/>
        <w:overflowPunct/>
        <w:topLinePunct w:val="0"/>
        <w:bidi w:val="0"/>
        <w:adjustRightInd w:val="0"/>
        <w:snapToGrid w:val="0"/>
        <w:spacing w:line="360" w:lineRule="auto"/>
        <w:ind w:firstLine="486" w:firstLineChars="200"/>
        <w:jc w:val="both"/>
        <w:rPr>
          <w:rFonts w:hint="eastAsia" w:ascii="仿宋_GB2312" w:hAnsi="仿宋_GB2312" w:eastAsia="仿宋_GB2312" w:cs="仿宋_GB2312"/>
          <w:b w:val="0"/>
          <w:bCs/>
          <w:color w:val="auto"/>
          <w:kern w:val="2"/>
          <w:sz w:val="24"/>
          <w:szCs w:val="24"/>
          <w:highlight w:val="none"/>
          <w:u w:val="single"/>
          <w:lang w:val="en-US" w:eastAsia="zh-CN" w:bidi="ar-SA"/>
        </w:rPr>
      </w:pPr>
      <w:r>
        <w:rPr>
          <w:rFonts w:hint="eastAsia" w:ascii="仿宋_GB2312" w:hAnsi="仿宋_GB2312" w:eastAsia="仿宋_GB2312" w:cs="仿宋_GB2312"/>
          <w:b w:val="0"/>
          <w:bCs/>
          <w:color w:val="auto"/>
          <w:kern w:val="2"/>
          <w:sz w:val="24"/>
          <w:szCs w:val="24"/>
          <w:highlight w:val="none"/>
          <w:u w:val="single"/>
          <w:lang w:val="en-US" w:eastAsia="zh-CN" w:bidi="ar-SA"/>
        </w:rPr>
        <w:t>（2）分包人负责从本工程开工至竣工设计要求及相关标准规范规定的必须进行试验检测的工序及原材料进场复检的现场取样及送样。并对样品的真实有效性负责，原材料检测所产生的费用由分包人承担。样品送至有相关资质单位并在规定时效内提供完整合格的检测报告给承包人做为验收资料，如因分包人原因造成报告出具不及时造成承包人损失，由分包人承担相应损失。</w:t>
      </w:r>
    </w:p>
    <w:p>
      <w:pPr>
        <w:pStyle w:val="9"/>
        <w:keepNext w:val="0"/>
        <w:keepLines w:val="0"/>
        <w:pageBreakBefore w:val="0"/>
        <w:widowControl w:val="0"/>
        <w:kinsoku/>
        <w:wordWrap/>
        <w:overflowPunct/>
        <w:topLinePunct w:val="0"/>
        <w:autoSpaceDE/>
        <w:autoSpaceDN/>
        <w:bidi w:val="0"/>
        <w:adjustRightInd w:val="0"/>
        <w:snapToGrid w:val="0"/>
        <w:spacing w:line="360" w:lineRule="auto"/>
        <w:ind w:left="0" w:leftChars="0" w:firstLine="486" w:firstLineChars="200"/>
        <w:jc w:val="both"/>
        <w:textAlignment w:val="auto"/>
        <w:rPr>
          <w:rFonts w:hint="eastAsia" w:ascii="仿宋_GB2312" w:hAnsi="仿宋_GB2312" w:eastAsia="仿宋_GB2312" w:cs="仿宋_GB2312"/>
          <w:b w:val="0"/>
          <w:bCs/>
          <w:color w:val="auto"/>
          <w:kern w:val="2"/>
          <w:sz w:val="24"/>
          <w:szCs w:val="24"/>
          <w:highlight w:val="none"/>
          <w:u w:val="single"/>
          <w:lang w:val="en-US" w:eastAsia="zh-CN" w:bidi="ar-SA"/>
        </w:rPr>
      </w:pPr>
      <w:r>
        <w:rPr>
          <w:rFonts w:hint="eastAsia" w:ascii="仿宋_GB2312" w:hAnsi="仿宋_GB2312" w:eastAsia="仿宋_GB2312" w:cs="仿宋_GB2312"/>
          <w:b w:val="0"/>
          <w:bCs/>
          <w:color w:val="auto"/>
          <w:kern w:val="2"/>
          <w:sz w:val="24"/>
          <w:szCs w:val="24"/>
          <w:highlight w:val="none"/>
          <w:u w:val="single"/>
          <w:lang w:val="en-US" w:eastAsia="zh-CN" w:bidi="ar-SA"/>
        </w:rPr>
        <w:t>（3）结算方式固定不含税单价乘以实际完成工程量+增值税进行结算。</w:t>
      </w:r>
    </w:p>
    <w:p>
      <w:pPr>
        <w:pStyle w:val="9"/>
        <w:keepNext w:val="0"/>
        <w:keepLines w:val="0"/>
        <w:pageBreakBefore w:val="0"/>
        <w:widowControl w:val="0"/>
        <w:kinsoku/>
        <w:wordWrap/>
        <w:overflowPunct/>
        <w:topLinePunct w:val="0"/>
        <w:autoSpaceDE/>
        <w:autoSpaceDN/>
        <w:bidi w:val="0"/>
        <w:adjustRightInd w:val="0"/>
        <w:snapToGrid w:val="0"/>
        <w:spacing w:line="360" w:lineRule="auto"/>
        <w:ind w:left="0" w:leftChars="0" w:firstLine="486" w:firstLineChars="200"/>
        <w:jc w:val="both"/>
        <w:textAlignment w:val="auto"/>
        <w:rPr>
          <w:rFonts w:hint="default" w:ascii="仿宋_GB2312" w:hAnsi="仿宋_GB2312" w:eastAsia="仿宋_GB2312" w:cs="仿宋_GB2312"/>
          <w:color w:val="auto"/>
          <w:sz w:val="24"/>
          <w:szCs w:val="24"/>
          <w:highlight w:val="none"/>
          <w:lang w:val="en-US"/>
        </w:rPr>
      </w:pPr>
      <w:r>
        <w:rPr>
          <w:rFonts w:hint="eastAsia" w:ascii="仿宋_GB2312" w:hAnsi="仿宋_GB2312" w:eastAsia="仿宋_GB2312" w:cs="仿宋_GB2312"/>
          <w:b w:val="0"/>
          <w:bCs/>
          <w:color w:val="auto"/>
          <w:kern w:val="2"/>
          <w:sz w:val="24"/>
          <w:szCs w:val="24"/>
          <w:highlight w:val="none"/>
          <w:u w:val="single"/>
          <w:lang w:val="en-US" w:eastAsia="zh-CN" w:bidi="ar-SA"/>
        </w:rPr>
        <w:t>（4）分包结算分为过程结算和最终结算，结算办理必须以分包合同为依据，过程结算仅作为过程进度款的支付依据，不作为最终结算依据。</w:t>
      </w:r>
    </w:p>
    <w:p>
      <w:pPr>
        <w:pStyle w:val="9"/>
        <w:pageBreakBefore w:val="0"/>
        <w:kinsoku/>
        <w:wordWrap/>
        <w:overflowPunct/>
        <w:topLinePunct w:val="0"/>
        <w:bidi w:val="0"/>
        <w:adjustRightInd w:val="0"/>
        <w:snapToGrid w:val="0"/>
        <w:spacing w:line="360" w:lineRule="auto"/>
        <w:ind w:firstLine="486" w:firstLineChars="200"/>
        <w:jc w:val="both"/>
        <w:rPr>
          <w:rFonts w:hint="eastAsia" w:ascii="仿宋_GB2312" w:hAnsi="仿宋_GB2312" w:eastAsia="仿宋_GB2312" w:cs="仿宋_GB2312"/>
          <w:color w:val="auto"/>
          <w:kern w:val="0"/>
          <w:sz w:val="24"/>
          <w:szCs w:val="24"/>
          <w:highlight w:val="none"/>
          <w:u w:val="none"/>
          <w:lang w:val="en-US" w:eastAsia="zh-CN"/>
        </w:rPr>
      </w:pPr>
      <w:r>
        <w:rPr>
          <w:rFonts w:hint="eastAsia" w:ascii="仿宋_GB2312" w:hAnsi="仿宋_GB2312" w:eastAsia="仿宋_GB2312" w:cs="仿宋_GB2312"/>
          <w:color w:val="auto"/>
          <w:sz w:val="24"/>
          <w:szCs w:val="24"/>
          <w:highlight w:val="none"/>
        </w:rPr>
        <w:t>承包人和分包人双方共同承担建设单位资金支付风险，若发包人对承包人的工程款项延期支付，则上</w:t>
      </w:r>
      <w:r>
        <w:rPr>
          <w:rFonts w:hint="eastAsia" w:ascii="仿宋_GB2312" w:hAnsi="仿宋_GB2312" w:eastAsia="仿宋_GB2312" w:cs="仿宋_GB2312"/>
          <w:color w:val="auto"/>
          <w:sz w:val="24"/>
          <w:szCs w:val="24"/>
          <w:highlight w:val="none"/>
          <w:lang w:eastAsia="zh-CN"/>
        </w:rPr>
        <w:t>述</w:t>
      </w:r>
      <w:r>
        <w:rPr>
          <w:rFonts w:hint="eastAsia" w:ascii="仿宋_GB2312" w:hAnsi="仿宋_GB2312" w:eastAsia="仿宋_GB2312" w:cs="仿宋_GB2312"/>
          <w:color w:val="auto"/>
          <w:sz w:val="24"/>
          <w:szCs w:val="24"/>
          <w:highlight w:val="none"/>
        </w:rPr>
        <w:t>款项相应推延。</w:t>
      </w:r>
      <w:r>
        <w:rPr>
          <w:rFonts w:hint="eastAsia" w:ascii="仿宋_GB2312" w:hAnsi="仿宋_GB2312" w:eastAsia="仿宋_GB2312" w:cs="仿宋_GB2312"/>
          <w:color w:val="auto"/>
          <w:kern w:val="0"/>
          <w:sz w:val="24"/>
          <w:szCs w:val="24"/>
          <w:highlight w:val="none"/>
          <w:lang w:val="en-US" w:eastAsia="zh-CN"/>
        </w:rPr>
        <w:t>确因承包人原因未能按合同约定向分包人支付无争议工程款的，双方约定欠款按</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不计利息</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none"/>
          <w:lang w:eastAsia="zh-CN"/>
        </w:rPr>
        <w:t>标准计息。</w:t>
      </w:r>
    </w:p>
    <w:p>
      <w:pPr>
        <w:pageBreakBefore w:val="0"/>
        <w:kinsoku/>
        <w:wordWrap/>
        <w:overflowPunct/>
        <w:topLinePunct w:val="0"/>
        <w:bidi w:val="0"/>
        <w:spacing w:line="360" w:lineRule="auto"/>
        <w:ind w:firstLine="435"/>
        <w:rPr>
          <w:rFonts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21.5</w:t>
      </w:r>
      <w:r>
        <w:rPr>
          <w:rFonts w:hint="eastAsia" w:ascii="仿宋_GB2312" w:hAnsi="仿宋" w:eastAsia="仿宋_GB2312" w:cs="仿宋"/>
          <w:color w:val="auto"/>
          <w:sz w:val="24"/>
          <w:szCs w:val="24"/>
          <w:highlight w:val="none"/>
        </w:rPr>
        <w:t>若承包人资金一时不到位时，分包人不得擅自停止施工。</w:t>
      </w:r>
    </w:p>
    <w:p>
      <w:pPr>
        <w:pageBreakBefore w:val="0"/>
        <w:kinsoku/>
        <w:wordWrap/>
        <w:overflowPunct/>
        <w:topLinePunct w:val="0"/>
        <w:bidi w:val="0"/>
        <w:spacing w:line="360" w:lineRule="auto"/>
        <w:ind w:firstLine="435"/>
        <w:rPr>
          <w:rFonts w:ascii="仿宋_GB2312" w:hAnsi="仿宋" w:eastAsia="仿宋_GB2312" w:cs="仿宋"/>
          <w:color w:val="auto"/>
          <w:sz w:val="24"/>
          <w:szCs w:val="24"/>
          <w:highlight w:val="none"/>
        </w:rPr>
      </w:pPr>
      <w:bookmarkStart w:id="822" w:name="_Toc16084"/>
      <w:bookmarkStart w:id="823" w:name="_Toc13247"/>
      <w:bookmarkStart w:id="824" w:name="_Toc2744"/>
      <w:bookmarkStart w:id="825" w:name="_Toc28948"/>
      <w:bookmarkStart w:id="826" w:name="_Toc8312"/>
      <w:bookmarkStart w:id="827" w:name="_Toc14180"/>
      <w:bookmarkStart w:id="828" w:name="_Toc11269_WPSOffice_Level2"/>
      <w:bookmarkStart w:id="829" w:name="_Toc12812"/>
      <w:bookmarkStart w:id="830" w:name="_Toc11922698"/>
      <w:bookmarkStart w:id="831" w:name="_Toc2432"/>
      <w:bookmarkStart w:id="832" w:name="_Toc19887"/>
      <w:bookmarkStart w:id="833" w:name="_Toc28842"/>
      <w:bookmarkStart w:id="834" w:name="_Toc25343"/>
      <w:bookmarkStart w:id="835" w:name="_Toc14759"/>
      <w:bookmarkStart w:id="836" w:name="_Toc11143"/>
      <w:bookmarkStart w:id="837" w:name="_Toc15160"/>
      <w:bookmarkStart w:id="838" w:name="_Toc16241"/>
      <w:bookmarkStart w:id="839" w:name="_Toc24599"/>
      <w:bookmarkStart w:id="840" w:name="_Toc31032"/>
      <w:bookmarkStart w:id="841" w:name="_Toc1054_WPSOffice_Level2"/>
      <w:bookmarkStart w:id="842" w:name="_Toc21797"/>
      <w:bookmarkStart w:id="843" w:name="_Toc23173"/>
      <w:bookmarkStart w:id="844" w:name="_Toc4764"/>
      <w:bookmarkStart w:id="845" w:name="_Toc11922706"/>
      <w:bookmarkStart w:id="846" w:name="_Toc19788"/>
      <w:bookmarkStart w:id="847" w:name="_Toc20040"/>
      <w:bookmarkStart w:id="848" w:name="_Toc15526"/>
      <w:r>
        <w:rPr>
          <w:rFonts w:ascii="仿宋_GB2312" w:hAnsi="仿宋" w:eastAsia="仿宋_GB2312" w:cs="仿宋"/>
          <w:color w:val="auto"/>
          <w:sz w:val="24"/>
          <w:szCs w:val="24"/>
          <w:highlight w:val="none"/>
        </w:rPr>
        <w:t>21.</w:t>
      </w:r>
      <w:r>
        <w:rPr>
          <w:rFonts w:hint="eastAsia" w:ascii="仿宋_GB2312" w:hAnsi="仿宋" w:eastAsia="仿宋_GB2312" w:cs="仿宋"/>
          <w:color w:val="auto"/>
          <w:sz w:val="24"/>
          <w:szCs w:val="24"/>
          <w:highlight w:val="none"/>
        </w:rPr>
        <w:t>6分包人在每个付款周期末向承包人提交进度付款申请单的份数：</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1</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份。</w:t>
      </w:r>
    </w:p>
    <w:p>
      <w:pPr>
        <w:pageBreakBefore w:val="0"/>
        <w:kinsoku/>
        <w:wordWrap/>
        <w:overflowPunct/>
        <w:topLinePunct w:val="0"/>
        <w:bidi w:val="0"/>
        <w:spacing w:line="360" w:lineRule="auto"/>
        <w:ind w:firstLine="435"/>
        <w:jc w:val="left"/>
        <w:rPr>
          <w:rFonts w:hint="eastAsia"/>
          <w:color w:val="auto"/>
          <w:highlight w:val="none"/>
          <w:lang w:val="en-US" w:eastAsia="zh-CN"/>
        </w:rPr>
      </w:pPr>
      <w:r>
        <w:rPr>
          <w:rFonts w:hint="eastAsia" w:ascii="仿宋_GB2312" w:hAnsi="仿宋_GB2312" w:eastAsia="仿宋_GB2312" w:cs="仿宋_GB2312"/>
          <w:color w:val="auto"/>
          <w:sz w:val="24"/>
          <w:szCs w:val="24"/>
          <w:highlight w:val="none"/>
        </w:rPr>
        <w:t>21.7工程款(进度款)以</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银行转账</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方式支付到农民工工资专户及</w:t>
      </w:r>
      <w:r>
        <w:rPr>
          <w:rFonts w:hint="eastAsia" w:ascii="仿宋_GB2312" w:hAnsi="仿宋_GB2312" w:eastAsia="仿宋_GB2312" w:cs="仿宋_GB2312"/>
          <w:color w:val="auto"/>
          <w:sz w:val="24"/>
          <w:szCs w:val="24"/>
          <w:highlight w:val="none"/>
          <w:lang w:val="en-US" w:eastAsia="zh-CN"/>
        </w:rPr>
        <w:t>乙方</w:t>
      </w:r>
      <w:r>
        <w:rPr>
          <w:rFonts w:hint="eastAsia" w:ascii="仿宋_GB2312" w:hAnsi="仿宋_GB2312" w:eastAsia="仿宋_GB2312" w:cs="仿宋_GB2312"/>
          <w:color w:val="auto"/>
          <w:sz w:val="24"/>
          <w:szCs w:val="24"/>
          <w:highlight w:val="none"/>
        </w:rPr>
        <w:t>帐户，因</w:t>
      </w:r>
      <w:r>
        <w:rPr>
          <w:rFonts w:hint="eastAsia" w:ascii="仿宋_GB2312" w:hAnsi="仿宋_GB2312" w:eastAsia="仿宋_GB2312" w:cs="仿宋_GB2312"/>
          <w:color w:val="auto"/>
          <w:sz w:val="24"/>
          <w:szCs w:val="24"/>
          <w:highlight w:val="none"/>
          <w:lang w:val="en-US" w:eastAsia="zh-CN"/>
        </w:rPr>
        <w:t>乙方</w:t>
      </w:r>
      <w:r>
        <w:rPr>
          <w:rFonts w:hint="eastAsia" w:ascii="仿宋_GB2312" w:hAnsi="仿宋_GB2312" w:eastAsia="仿宋_GB2312" w:cs="仿宋_GB2312"/>
          <w:color w:val="auto"/>
          <w:sz w:val="24"/>
          <w:szCs w:val="24"/>
          <w:highlight w:val="none"/>
        </w:rPr>
        <w:t>原因未支付农民工工资</w:t>
      </w:r>
      <w:r>
        <w:rPr>
          <w:rFonts w:hint="eastAsia" w:ascii="仿宋_GB2312" w:hAnsi="仿宋_GB2312" w:eastAsia="仿宋_GB2312" w:cs="仿宋_GB2312"/>
          <w:color w:val="auto"/>
          <w:sz w:val="24"/>
          <w:szCs w:val="24"/>
          <w:highlight w:val="none"/>
          <w:lang w:val="en-US" w:eastAsia="zh-CN"/>
        </w:rPr>
        <w:t>甲方</w:t>
      </w:r>
      <w:r>
        <w:rPr>
          <w:rFonts w:hint="eastAsia" w:ascii="仿宋_GB2312" w:hAnsi="仿宋_GB2312" w:eastAsia="仿宋_GB2312" w:cs="仿宋_GB2312"/>
          <w:color w:val="auto"/>
          <w:sz w:val="24"/>
          <w:szCs w:val="24"/>
          <w:highlight w:val="none"/>
        </w:rPr>
        <w:t>有权暂停工程进度款支付。</w:t>
      </w:r>
      <w:r>
        <w:rPr>
          <w:rFonts w:hint="eastAsia" w:ascii="仿宋_GB2312" w:hAnsi="仿宋_GB2312" w:eastAsia="仿宋_GB2312" w:cs="仿宋_GB2312"/>
          <w:color w:val="auto"/>
          <w:sz w:val="24"/>
          <w:szCs w:val="24"/>
          <w:highlight w:val="none"/>
          <w:lang w:val="en-US" w:eastAsia="zh-CN"/>
        </w:rPr>
        <w:t>根据合同分账管理要求，人工费款项按分账占比</w:t>
      </w:r>
      <w:r>
        <w:rPr>
          <w:rFonts w:hint="eastAsia" w:ascii="仿宋_GB2312" w:hAnsi="仿宋_GB2312" w:eastAsia="仿宋_GB2312" w:cs="仿宋_GB2312"/>
          <w:color w:val="auto"/>
          <w:sz w:val="24"/>
          <w:szCs w:val="24"/>
          <w:highlight w:val="none"/>
          <w:u w:val="single"/>
          <w:lang w:val="en-US" w:eastAsia="zh-CN"/>
        </w:rPr>
        <w:t xml:space="preserve"> 30 </w:t>
      </w:r>
      <w:r>
        <w:rPr>
          <w:rFonts w:hint="eastAsia" w:ascii="仿宋_GB2312" w:hAnsi="仿宋_GB2312" w:eastAsia="仿宋_GB2312" w:cs="仿宋_GB2312"/>
          <w:color w:val="auto"/>
          <w:sz w:val="24"/>
          <w:szCs w:val="24"/>
          <w:highlight w:val="none"/>
          <w:lang w:val="en-US" w:eastAsia="zh-CN"/>
        </w:rPr>
        <w:t>%全额拨付至专户，项目实施过程中不支付到乙方账户，若人工费款项不够支付农民工工资时，甲方优先从非人工费款项中代扣代付。乙方退场且专户内人工费有剩余的，按《保障农民工工资支付条例》的相关规定执行</w:t>
      </w:r>
      <w:r>
        <w:rPr>
          <w:rFonts w:hint="eastAsia" w:ascii="仿宋_GB2312" w:hAnsi="仿宋_GB2312" w:eastAsia="仿宋_GB2312" w:cs="仿宋_GB2312"/>
          <w:color w:val="auto"/>
          <w:kern w:val="0"/>
          <w:sz w:val="24"/>
          <w:szCs w:val="24"/>
          <w:highlight w:val="none"/>
          <w:lang w:val="en-US" w:eastAsia="zh-CN"/>
        </w:rPr>
        <w:t xml:space="preserve">（乙方指定收款银行账户信息为：开户行: </w:t>
      </w:r>
      <w:r>
        <w:rPr>
          <w:rFonts w:hint="eastAsia" w:ascii="仿宋_GB2312" w:hAnsi="仿宋_GB2312" w:eastAsia="仿宋_GB2312" w:cs="仿宋_GB2312"/>
          <w:color w:val="auto"/>
          <w:kern w:val="0"/>
          <w:sz w:val="24"/>
          <w:szCs w:val="24"/>
          <w:highlight w:val="none"/>
          <w:u w:val="single"/>
          <w:lang w:val="en-US" w:eastAsia="zh-CN"/>
        </w:rPr>
        <w:t xml:space="preserve">            </w:t>
      </w:r>
      <w:r>
        <w:rPr>
          <w:rFonts w:hint="eastAsia" w:ascii="仿宋_GB2312" w:hAnsi="仿宋_GB2312" w:eastAsia="仿宋_GB2312" w:cs="仿宋_GB2312"/>
          <w:color w:val="auto"/>
          <w:kern w:val="0"/>
          <w:sz w:val="24"/>
          <w:szCs w:val="24"/>
          <w:highlight w:val="none"/>
          <w:lang w:val="en-US" w:eastAsia="zh-CN"/>
        </w:rPr>
        <w:t xml:space="preserve"> ,账号:</w:t>
      </w:r>
      <w:r>
        <w:rPr>
          <w:rFonts w:hint="eastAsia" w:ascii="仿宋_GB2312" w:hAnsi="仿宋_GB2312" w:eastAsia="仿宋_GB2312" w:cs="仿宋_GB2312"/>
          <w:color w:val="auto"/>
          <w:kern w:val="0"/>
          <w:sz w:val="24"/>
          <w:szCs w:val="24"/>
          <w:highlight w:val="none"/>
          <w:u w:val="single"/>
          <w:lang w:val="en-US" w:eastAsia="zh-CN"/>
        </w:rPr>
        <w:t xml:space="preserve">           </w:t>
      </w:r>
      <w:r>
        <w:rPr>
          <w:rFonts w:hint="eastAsia" w:ascii="仿宋_GB2312" w:hAnsi="仿宋_GB2312" w:eastAsia="仿宋_GB2312" w:cs="仿宋_GB2312"/>
          <w:color w:val="auto"/>
          <w:kern w:val="0"/>
          <w:sz w:val="24"/>
          <w:szCs w:val="24"/>
          <w:highlight w:val="none"/>
          <w:lang w:val="en-US" w:eastAsia="zh-CN"/>
        </w:rPr>
        <w:t xml:space="preserve"> ）。若乙方公司或现场农民工需改变指定收款银行账户须需提供相应说明 。付款时乙方必须提交符合税法规定的 增值税专用发票（增值税专用发票/增值税普通发票）和在劳务所在地预缴税款完税证明（若乙方公司注册地与工程项目所在地一致的可提供当期税款完税证明）, 否则甲方不予支付款项。</w:t>
      </w:r>
    </w:p>
    <w:p>
      <w:pPr>
        <w:pStyle w:val="5"/>
        <w:pageBreakBefore w:val="0"/>
        <w:kinsoku/>
        <w:wordWrap/>
        <w:overflowPunct/>
        <w:topLinePunct w:val="0"/>
        <w:bidi w:val="0"/>
        <w:spacing w:before="0" w:after="0" w:line="360" w:lineRule="auto"/>
        <w:ind w:firstLine="566" w:firstLineChars="200"/>
        <w:jc w:val="center"/>
        <w:rPr>
          <w:rFonts w:hint="eastAsia" w:ascii="黑体" w:hAnsi="黑体" w:eastAsia="黑体" w:cs="黑体"/>
          <w:b w:val="0"/>
          <w:color w:val="auto"/>
          <w:sz w:val="28"/>
          <w:szCs w:val="28"/>
          <w:highlight w:val="none"/>
        </w:rPr>
      </w:pPr>
      <w:r>
        <w:rPr>
          <w:rFonts w:hint="eastAsia" w:ascii="黑体" w:hAnsi="黑体" w:eastAsia="黑体" w:cs="黑体"/>
          <w:b w:val="0"/>
          <w:color w:val="auto"/>
          <w:sz w:val="28"/>
          <w:szCs w:val="28"/>
          <w:highlight w:val="none"/>
        </w:rPr>
        <w:t>七、竣工验收及结算</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pPr>
        <w:pageBreakBefore w:val="0"/>
        <w:kinsoku/>
        <w:wordWrap/>
        <w:overflowPunct/>
        <w:topLinePunct w:val="0"/>
        <w:bidi w:val="0"/>
        <w:spacing w:line="360" w:lineRule="auto"/>
        <w:ind w:firstLine="486" w:firstLineChars="200"/>
        <w:outlineLvl w:val="3"/>
        <w:rPr>
          <w:rFonts w:hint="eastAsia" w:ascii="仿宋_GB2312" w:hAnsi="仿宋" w:eastAsia="仿宋_GB2312" w:cs="仿宋"/>
          <w:b/>
          <w:color w:val="auto"/>
          <w:kern w:val="0"/>
          <w:sz w:val="24"/>
          <w:szCs w:val="24"/>
          <w:highlight w:val="none"/>
        </w:rPr>
      </w:pPr>
      <w:bookmarkStart w:id="849" w:name="_Toc11922792"/>
      <w:bookmarkStart w:id="850" w:name="_Toc11922699"/>
      <w:r>
        <w:rPr>
          <w:rFonts w:hint="eastAsia" w:ascii="仿宋_GB2312" w:hAnsi="仿宋" w:eastAsia="仿宋_GB2312" w:cs="仿宋"/>
          <w:b/>
          <w:color w:val="auto"/>
          <w:kern w:val="0"/>
          <w:sz w:val="24"/>
          <w:szCs w:val="24"/>
          <w:highlight w:val="none"/>
        </w:rPr>
        <w:t>23．竣工验收</w:t>
      </w:r>
      <w:bookmarkEnd w:id="849"/>
      <w:bookmarkEnd w:id="850"/>
    </w:p>
    <w:p>
      <w:pPr>
        <w:pageBreakBefore w:val="0"/>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23.1</w:t>
      </w:r>
      <w:r>
        <w:rPr>
          <w:rFonts w:hint="eastAsia" w:ascii="仿宋_GB2312" w:hAnsi="仿宋" w:eastAsia="仿宋_GB2312" w:cs="仿宋"/>
          <w:color w:val="auto"/>
          <w:sz w:val="24"/>
          <w:szCs w:val="24"/>
          <w:highlight w:val="none"/>
        </w:rPr>
        <w:t>分包人提供竣工图的日期：</w:t>
      </w:r>
      <w:r>
        <w:rPr>
          <w:rFonts w:hint="eastAsia" w:ascii="仿宋_GB2312" w:hAnsi="仿宋" w:eastAsia="仿宋_GB2312" w:cs="仿宋"/>
          <w:color w:val="auto"/>
          <w:sz w:val="24"/>
          <w:szCs w:val="24"/>
          <w:highlight w:val="none"/>
          <w:u w:val="single"/>
        </w:rPr>
        <w:t xml:space="preserve">  退场前15天    </w:t>
      </w:r>
    </w:p>
    <w:p>
      <w:pPr>
        <w:pageBreakBefore w:val="0"/>
        <w:kinsoku/>
        <w:wordWrap/>
        <w:overflowPunct/>
        <w:topLinePunct w:val="0"/>
        <w:bidi w:val="0"/>
        <w:spacing w:line="360" w:lineRule="auto"/>
        <w:ind w:firstLine="486" w:firstLineChars="200"/>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 xml:space="preserve">     分包人提供竣工图的份数</w:t>
      </w:r>
      <w:r>
        <w:rPr>
          <w:rFonts w:hint="eastAsia" w:ascii="仿宋_GB2312" w:hAnsi="仿宋" w:eastAsia="仿宋_GB2312" w:cs="仿宋"/>
          <w:color w:val="auto"/>
          <w:sz w:val="24"/>
          <w:szCs w:val="24"/>
          <w:highlight w:val="none"/>
          <w:lang w:eastAsia="zh-CN"/>
        </w:rPr>
        <w:t>：</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 xml:space="preserve">    2    </w:t>
      </w:r>
      <w:r>
        <w:rPr>
          <w:rFonts w:hint="eastAsia" w:ascii="仿宋_GB2312" w:hAnsi="仿宋" w:eastAsia="仿宋_GB2312" w:cs="仿宋"/>
          <w:color w:val="auto"/>
          <w:sz w:val="24"/>
          <w:szCs w:val="24"/>
          <w:highlight w:val="none"/>
          <w:u w:val="single"/>
        </w:rPr>
        <w:t xml:space="preserve">  </w:t>
      </w:r>
    </w:p>
    <w:p>
      <w:pPr>
        <w:pageBreakBefore w:val="0"/>
        <w:kinsoku/>
        <w:wordWrap/>
        <w:overflowPunct/>
        <w:topLinePunct w:val="0"/>
        <w:bidi w:val="0"/>
        <w:spacing w:line="360" w:lineRule="auto"/>
        <w:ind w:firstLine="486" w:firstLineChars="200"/>
        <w:outlineLvl w:val="3"/>
        <w:rPr>
          <w:rFonts w:hint="eastAsia" w:ascii="仿宋_GB2312" w:hAnsi="仿宋" w:eastAsia="仿宋_GB2312" w:cs="仿宋"/>
          <w:b/>
          <w:color w:val="auto"/>
          <w:kern w:val="0"/>
          <w:sz w:val="24"/>
          <w:szCs w:val="24"/>
          <w:highlight w:val="none"/>
        </w:rPr>
      </w:pPr>
      <w:bookmarkStart w:id="851" w:name="_Toc11922701"/>
      <w:bookmarkStart w:id="852" w:name="_Toc11922794"/>
      <w:r>
        <w:rPr>
          <w:rFonts w:hint="eastAsia" w:ascii="仿宋_GB2312" w:hAnsi="仿宋" w:eastAsia="仿宋_GB2312" w:cs="仿宋"/>
          <w:b/>
          <w:color w:val="auto"/>
          <w:kern w:val="0"/>
          <w:sz w:val="24"/>
          <w:szCs w:val="24"/>
          <w:highlight w:val="none"/>
        </w:rPr>
        <w:t>24．竣工结算及移交</w:t>
      </w:r>
      <w:bookmarkEnd w:id="851"/>
      <w:bookmarkEnd w:id="852"/>
    </w:p>
    <w:p>
      <w:pPr>
        <w:pageBreakBefore w:val="0"/>
        <w:kinsoku/>
        <w:wordWrap/>
        <w:overflowPunct/>
        <w:topLinePunct w:val="0"/>
        <w:bidi w:val="0"/>
        <w:spacing w:line="360" w:lineRule="auto"/>
        <w:ind w:firstLine="435"/>
        <w:rPr>
          <w:rFonts w:hint="default" w:ascii="仿宋_GB2312" w:hAnsi="仿宋" w:eastAsia="仿宋_GB2312" w:cs="仿宋"/>
          <w:color w:val="auto"/>
          <w:sz w:val="24"/>
          <w:szCs w:val="24"/>
          <w:highlight w:val="none"/>
          <w:lang w:val="en-US" w:eastAsia="zh-CN"/>
        </w:rPr>
      </w:pPr>
      <w:r>
        <w:rPr>
          <w:rFonts w:ascii="仿宋_GB2312" w:hAnsi="仿宋" w:eastAsia="仿宋_GB2312" w:cs="仿宋"/>
          <w:color w:val="auto"/>
          <w:sz w:val="24"/>
          <w:szCs w:val="24"/>
          <w:highlight w:val="none"/>
        </w:rPr>
        <w:t>24.</w:t>
      </w:r>
      <w:r>
        <w:rPr>
          <w:rFonts w:hint="eastAsia" w:ascii="仿宋_GB2312" w:hAnsi="仿宋" w:eastAsia="仿宋_GB2312" w:cs="仿宋"/>
          <w:color w:val="auto"/>
          <w:sz w:val="24"/>
          <w:szCs w:val="24"/>
          <w:highlight w:val="none"/>
        </w:rPr>
        <w:t>2承包人收到分包人递交的分包工程竣工结算报告及结算资料后</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15</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天内进行核实，给予确认或者提出明确的修改意见。承包人确认竣工结算报告并收到发包方支付的工程竣工结算价款后</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天内向分包人支付分包工程竣工结算价款。</w:t>
      </w:r>
    </w:p>
    <w:p>
      <w:pPr>
        <w:pageBreakBefore w:val="0"/>
        <w:kinsoku/>
        <w:wordWrap/>
        <w:overflowPunct/>
        <w:topLinePunct w:val="0"/>
        <w:bidi w:val="0"/>
        <w:spacing w:line="360" w:lineRule="auto"/>
        <w:ind w:firstLine="435"/>
        <w:rPr>
          <w:rFonts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24.</w:t>
      </w:r>
      <w:r>
        <w:rPr>
          <w:rFonts w:hint="eastAsia" w:ascii="仿宋_GB2312" w:hAnsi="仿宋" w:eastAsia="仿宋_GB2312" w:cs="仿宋"/>
          <w:color w:val="auto"/>
          <w:sz w:val="24"/>
          <w:szCs w:val="24"/>
          <w:highlight w:val="none"/>
        </w:rPr>
        <w:t>3</w:t>
      </w:r>
      <w:r>
        <w:rPr>
          <w:rFonts w:ascii="仿宋_GB2312" w:hAnsi="仿宋" w:eastAsia="仿宋_GB2312" w:cs="仿宋"/>
          <w:color w:val="auto"/>
          <w:sz w:val="24"/>
          <w:szCs w:val="24"/>
          <w:highlight w:val="none"/>
        </w:rPr>
        <w:t xml:space="preserve"> </w:t>
      </w:r>
      <w:r>
        <w:rPr>
          <w:rFonts w:hint="eastAsia" w:ascii="仿宋_GB2312" w:hAnsi="仿宋" w:eastAsia="仿宋_GB2312" w:cs="仿宋"/>
          <w:color w:val="auto"/>
          <w:sz w:val="24"/>
          <w:szCs w:val="24"/>
          <w:highlight w:val="none"/>
        </w:rPr>
        <w:t>承包人收到分包工程竣工结算报告、结算资料且收到发包方支付的工程结算款后</w:t>
      </w:r>
      <w:r>
        <w:rPr>
          <w:rFonts w:ascii="仿宋_GB2312" w:hAnsi="仿宋" w:eastAsia="仿宋_GB2312" w:cs="仿宋"/>
          <w:color w:val="auto"/>
          <w:sz w:val="24"/>
          <w:szCs w:val="24"/>
          <w:highlight w:val="none"/>
        </w:rPr>
        <w:t>28</w:t>
      </w:r>
      <w:r>
        <w:rPr>
          <w:rFonts w:hint="eastAsia" w:ascii="仿宋_GB2312" w:hAnsi="仿宋" w:eastAsia="仿宋_GB2312" w:cs="仿宋"/>
          <w:color w:val="auto"/>
          <w:sz w:val="24"/>
          <w:szCs w:val="24"/>
          <w:highlight w:val="none"/>
        </w:rPr>
        <w:t>天内应当支付工程竣工结算价款。若承包人未收到发包人支付的工程款，分包人不得主张承包人先行支付。</w:t>
      </w:r>
    </w:p>
    <w:p>
      <w:pPr>
        <w:pageBreakBefore w:val="0"/>
        <w:kinsoku/>
        <w:wordWrap/>
        <w:overflowPunct/>
        <w:topLinePunct w:val="0"/>
        <w:bidi w:val="0"/>
        <w:spacing w:line="360" w:lineRule="auto"/>
        <w:ind w:firstLine="435"/>
        <w:rPr>
          <w:rFonts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24.</w:t>
      </w:r>
      <w:r>
        <w:rPr>
          <w:rFonts w:hint="eastAsia" w:ascii="仿宋_GB2312" w:hAnsi="仿宋" w:eastAsia="仿宋_GB2312" w:cs="仿宋"/>
          <w:color w:val="auto"/>
          <w:sz w:val="24"/>
          <w:szCs w:val="24"/>
          <w:highlight w:val="none"/>
        </w:rPr>
        <w:t>4分包人在工程完工并竣工验收合格后</w:t>
      </w:r>
      <w:r>
        <w:rPr>
          <w:rFonts w:hint="eastAsia" w:ascii="仿宋_GB2312" w:hAnsi="仿宋" w:eastAsia="仿宋_GB2312" w:cs="仿宋"/>
          <w:color w:val="auto"/>
          <w:sz w:val="24"/>
          <w:szCs w:val="24"/>
          <w:highlight w:val="none"/>
          <w:u w:val="single"/>
          <w:lang w:val="en-US" w:eastAsia="zh-CN"/>
        </w:rPr>
        <w:t>5</w:t>
      </w:r>
      <w:r>
        <w:rPr>
          <w:rFonts w:hint="eastAsia" w:ascii="仿宋_GB2312" w:hAnsi="仿宋" w:eastAsia="仿宋_GB2312" w:cs="仿宋"/>
          <w:color w:val="auto"/>
          <w:sz w:val="24"/>
          <w:szCs w:val="24"/>
          <w:highlight w:val="none"/>
        </w:rPr>
        <w:t>日历天内向承包人提交最终结算书。分包人最终结算书的审减</w:t>
      </w:r>
      <w:r>
        <w:rPr>
          <w:rFonts w:hint="eastAsia" w:ascii="仿宋_GB2312" w:hAnsi="仿宋" w:eastAsia="仿宋_GB2312" w:cs="仿宋"/>
          <w:color w:val="auto"/>
          <w:sz w:val="24"/>
          <w:szCs w:val="24"/>
          <w:highlight w:val="none"/>
          <w:lang w:val="en-US" w:eastAsia="zh-CN"/>
        </w:rPr>
        <w:t>比例</w:t>
      </w:r>
      <w:r>
        <w:rPr>
          <w:rFonts w:hint="eastAsia" w:ascii="仿宋_GB2312" w:hAnsi="仿宋" w:eastAsia="仿宋_GB2312" w:cs="仿宋"/>
          <w:color w:val="auto"/>
          <w:sz w:val="24"/>
          <w:szCs w:val="24"/>
          <w:highlight w:val="none"/>
        </w:rPr>
        <w:t>不得超过</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5</w:t>
      </w:r>
      <w:r>
        <w:rPr>
          <w:rFonts w:hint="eastAsia" w:ascii="仿宋_GB2312" w:hAnsi="仿宋" w:eastAsia="仿宋_GB2312" w:cs="仿宋"/>
          <w:color w:val="auto"/>
          <w:sz w:val="24"/>
          <w:szCs w:val="24"/>
          <w:highlight w:val="none"/>
          <w:u w:val="single"/>
        </w:rPr>
        <w:t xml:space="preserve">  </w:t>
      </w:r>
      <w:r>
        <w:rPr>
          <w:rFonts w:ascii="仿宋_GB2312" w:hAnsi="仿宋" w:eastAsia="仿宋_GB2312" w:cs="仿宋"/>
          <w:color w:val="auto"/>
          <w:sz w:val="24"/>
          <w:szCs w:val="24"/>
          <w:highlight w:val="none"/>
        </w:rPr>
        <w:t>%</w:t>
      </w:r>
      <w:r>
        <w:rPr>
          <w:rFonts w:hint="eastAsia" w:ascii="仿宋_GB2312" w:hAnsi="仿宋" w:eastAsia="仿宋_GB2312" w:cs="仿宋"/>
          <w:color w:val="auto"/>
          <w:sz w:val="24"/>
          <w:szCs w:val="24"/>
          <w:highlight w:val="none"/>
        </w:rPr>
        <w:t>，若超过，按超出部分的</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10</w:t>
      </w:r>
      <w:r>
        <w:rPr>
          <w:rFonts w:ascii="仿宋_GB2312" w:hAnsi="仿宋" w:eastAsia="仿宋_GB2312" w:cs="仿宋"/>
          <w:color w:val="auto"/>
          <w:sz w:val="24"/>
          <w:szCs w:val="24"/>
          <w:highlight w:val="none"/>
          <w:u w:val="single"/>
        </w:rPr>
        <w:t xml:space="preserve"> </w:t>
      </w:r>
      <w:r>
        <w:rPr>
          <w:rFonts w:ascii="仿宋_GB2312" w:hAnsi="仿宋" w:eastAsia="仿宋_GB2312" w:cs="仿宋"/>
          <w:color w:val="auto"/>
          <w:sz w:val="24"/>
          <w:szCs w:val="24"/>
          <w:highlight w:val="none"/>
        </w:rPr>
        <w:t>%</w:t>
      </w:r>
      <w:r>
        <w:rPr>
          <w:rFonts w:hint="eastAsia" w:ascii="仿宋_GB2312" w:hAnsi="仿宋" w:eastAsia="仿宋_GB2312" w:cs="仿宋"/>
          <w:color w:val="auto"/>
          <w:sz w:val="24"/>
          <w:szCs w:val="24"/>
          <w:highlight w:val="none"/>
        </w:rPr>
        <w:t>作为处罚金。结算审核完成后，</w:t>
      </w:r>
      <w:r>
        <w:rPr>
          <w:rFonts w:ascii="仿宋_GB2312" w:hAnsi="仿宋" w:eastAsia="仿宋_GB2312" w:cs="仿宋"/>
          <w:color w:val="auto"/>
          <w:sz w:val="24"/>
          <w:szCs w:val="24"/>
          <w:highlight w:val="none"/>
        </w:rPr>
        <w:t>30</w:t>
      </w:r>
      <w:r>
        <w:rPr>
          <w:rFonts w:hint="eastAsia" w:ascii="仿宋_GB2312" w:hAnsi="仿宋" w:eastAsia="仿宋_GB2312" w:cs="仿宋"/>
          <w:color w:val="auto"/>
          <w:sz w:val="24"/>
          <w:szCs w:val="24"/>
          <w:highlight w:val="none"/>
        </w:rPr>
        <w:t>天内（承包人收到业主方剩余款项的前提下）向分包人付款至累计应付金额的</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97</w:t>
      </w:r>
      <w:r>
        <w:rPr>
          <w:rFonts w:ascii="仿宋_GB2312" w:hAnsi="仿宋" w:eastAsia="仿宋_GB2312" w:cs="仿宋"/>
          <w:color w:val="auto"/>
          <w:sz w:val="24"/>
          <w:szCs w:val="24"/>
          <w:highlight w:val="none"/>
          <w:u w:val="single"/>
        </w:rPr>
        <w:t xml:space="preserve"> </w:t>
      </w:r>
      <w:r>
        <w:rPr>
          <w:rFonts w:ascii="仿宋_GB2312" w:hAnsi="仿宋" w:eastAsia="仿宋_GB2312" w:cs="仿宋"/>
          <w:color w:val="auto"/>
          <w:sz w:val="24"/>
          <w:szCs w:val="24"/>
          <w:highlight w:val="none"/>
        </w:rPr>
        <w:t>%</w:t>
      </w:r>
      <w:r>
        <w:rPr>
          <w:rFonts w:hint="eastAsia" w:ascii="仿宋_GB2312" w:hAnsi="仿宋" w:eastAsia="仿宋_GB2312" w:cs="仿宋"/>
          <w:color w:val="auto"/>
          <w:sz w:val="24"/>
          <w:szCs w:val="24"/>
          <w:highlight w:val="none"/>
        </w:rPr>
        <w:t>，剩余</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3</w:t>
      </w:r>
      <w:r>
        <w:rPr>
          <w:rFonts w:hint="eastAsia" w:ascii="仿宋_GB2312" w:hAnsi="仿宋" w:eastAsia="仿宋_GB2312" w:cs="仿宋"/>
          <w:color w:val="auto"/>
          <w:sz w:val="24"/>
          <w:szCs w:val="24"/>
          <w:highlight w:val="none"/>
          <w:u w:val="single"/>
        </w:rPr>
        <w:t xml:space="preserve">  </w:t>
      </w:r>
      <w:r>
        <w:rPr>
          <w:rFonts w:ascii="仿宋_GB2312" w:hAnsi="仿宋" w:eastAsia="仿宋_GB2312" w:cs="仿宋"/>
          <w:color w:val="auto"/>
          <w:sz w:val="24"/>
          <w:szCs w:val="24"/>
          <w:highlight w:val="none"/>
          <w:u w:val="single"/>
        </w:rPr>
        <w:t xml:space="preserve"> </w:t>
      </w:r>
      <w:r>
        <w:rPr>
          <w:rFonts w:ascii="仿宋_GB2312" w:hAnsi="仿宋" w:eastAsia="仿宋_GB2312" w:cs="仿宋"/>
          <w:color w:val="auto"/>
          <w:sz w:val="24"/>
          <w:szCs w:val="24"/>
          <w:highlight w:val="none"/>
        </w:rPr>
        <w:t>%</w:t>
      </w:r>
      <w:r>
        <w:rPr>
          <w:rFonts w:hint="eastAsia" w:ascii="仿宋_GB2312" w:hAnsi="仿宋" w:eastAsia="仿宋_GB2312" w:cs="仿宋"/>
          <w:color w:val="auto"/>
          <w:sz w:val="24"/>
          <w:szCs w:val="24"/>
          <w:highlight w:val="none"/>
        </w:rPr>
        <w:t>为工程质保金，质保期为</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5</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年，质保期满待业主返还质保金后扣除发生的应由分包人承担的保修费用，余款</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天内全额无息支付。</w:t>
      </w:r>
    </w:p>
    <w:p>
      <w:pPr>
        <w:pageBreakBefore w:val="0"/>
        <w:kinsoku/>
        <w:wordWrap/>
        <w:overflowPunct/>
        <w:topLinePunct w:val="0"/>
        <w:bidi w:val="0"/>
        <w:spacing w:line="360" w:lineRule="auto"/>
        <w:ind w:firstLine="435"/>
        <w:rPr>
          <w:rFonts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24.</w:t>
      </w:r>
      <w:r>
        <w:rPr>
          <w:rFonts w:hint="eastAsia" w:ascii="仿宋_GB2312" w:hAnsi="仿宋" w:eastAsia="仿宋_GB2312" w:cs="仿宋"/>
          <w:color w:val="auto"/>
          <w:sz w:val="24"/>
          <w:szCs w:val="24"/>
          <w:highlight w:val="none"/>
        </w:rPr>
        <w:t>6工程移交严格按</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eastAsia="zh-CN"/>
        </w:rPr>
        <w:t>建筑工程</w:t>
      </w:r>
      <w:r>
        <w:rPr>
          <w:rFonts w:hint="eastAsia" w:ascii="仿宋_GB2312" w:hAnsi="仿宋" w:eastAsia="仿宋_GB2312" w:cs="仿宋"/>
          <w:color w:val="auto"/>
          <w:sz w:val="24"/>
          <w:szCs w:val="24"/>
          <w:highlight w:val="none"/>
          <w:u w:val="single"/>
          <w:lang w:val="en-US" w:eastAsia="zh-CN"/>
        </w:rPr>
        <w:t>防水工程</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行业相关技术规范执行。</w:t>
      </w:r>
    </w:p>
    <w:p>
      <w:pPr>
        <w:pageBreakBefore w:val="0"/>
        <w:kinsoku/>
        <w:wordWrap/>
        <w:overflowPunct/>
        <w:topLinePunct w:val="0"/>
        <w:bidi w:val="0"/>
        <w:spacing w:line="360" w:lineRule="auto"/>
        <w:ind w:firstLine="486" w:firstLineChars="200"/>
        <w:outlineLvl w:val="3"/>
        <w:rPr>
          <w:rFonts w:hint="eastAsia" w:ascii="仿宋_GB2312" w:hAnsi="仿宋" w:eastAsia="仿宋_GB2312" w:cs="仿宋"/>
          <w:b/>
          <w:color w:val="auto"/>
          <w:kern w:val="0"/>
          <w:sz w:val="24"/>
          <w:szCs w:val="24"/>
          <w:highlight w:val="none"/>
        </w:rPr>
      </w:pPr>
      <w:bookmarkStart w:id="853" w:name="_Toc11922702"/>
      <w:bookmarkStart w:id="854" w:name="_Toc11922795"/>
      <w:r>
        <w:rPr>
          <w:rFonts w:hint="eastAsia" w:ascii="仿宋_GB2312" w:hAnsi="仿宋" w:eastAsia="仿宋_GB2312" w:cs="仿宋"/>
          <w:b/>
          <w:color w:val="auto"/>
          <w:kern w:val="0"/>
          <w:sz w:val="24"/>
          <w:szCs w:val="24"/>
          <w:highlight w:val="none"/>
        </w:rPr>
        <w:t>25.质量保修</w:t>
      </w:r>
      <w:bookmarkEnd w:id="853"/>
      <w:bookmarkEnd w:id="854"/>
    </w:p>
    <w:p>
      <w:pPr>
        <w:pageBreakBefore w:val="0"/>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25.1工程竣工验收之前签订质量保修书</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3</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份。</w:t>
      </w:r>
    </w:p>
    <w:p>
      <w:pPr>
        <w:pageBreakBefore w:val="0"/>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25.2（1）缺陷责任期：自实际交工日期起</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2</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年</w:t>
      </w:r>
      <w:r>
        <w:rPr>
          <w:rFonts w:hint="eastAsia" w:ascii="仿宋_GB2312" w:hAnsi="仿宋" w:eastAsia="仿宋_GB2312" w:cs="仿宋"/>
          <w:color w:val="auto"/>
          <w:sz w:val="24"/>
          <w:szCs w:val="24"/>
          <w:highlight w:val="none"/>
          <w:lang w:eastAsia="zh-CN"/>
        </w:rPr>
        <w:t>。</w:t>
      </w:r>
      <w:r>
        <w:rPr>
          <w:rFonts w:hint="eastAsia" w:ascii="仿宋_GB2312" w:hAnsi="仿宋" w:eastAsia="仿宋_GB2312" w:cs="仿宋"/>
          <w:color w:val="auto"/>
          <w:sz w:val="24"/>
          <w:szCs w:val="24"/>
          <w:highlight w:val="none"/>
        </w:rPr>
        <w:t>在全部工程竣工验收前，已经业主方提前验收的单位工程，其缺陷责任期的起算日期相应提前。</w:t>
      </w:r>
    </w:p>
    <w:p>
      <w:pPr>
        <w:pageBreakBefore w:val="0"/>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（2）分包人应在缺陷责任期内对已交付使用的工程承担缺陷责任。</w:t>
      </w:r>
    </w:p>
    <w:p>
      <w:pPr>
        <w:pageBreakBefore w:val="0"/>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（3）在缺陷责任期和保修期内由于工程质量问题而引发的相关工程的损坏和由此造成的其它相关损失，由发包人、监理人组织有关专家进行鉴定，属于分包人施工工程的责任，则由分包人进行修复并承担费用。</w:t>
      </w:r>
    </w:p>
    <w:p>
      <w:pPr>
        <w:pageBreakBefore w:val="0"/>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(4)分包人安排的缺陷责任期管理人员必须满足工作进度需要，若承包人认为分包人的缺陷责任期管理人员不能满足工作要求时，分包人无条件按承包人的要求配足缺陷责任期管理人员，否则，由此引起的一切责任由分包人承担。</w:t>
      </w:r>
    </w:p>
    <w:p>
      <w:pPr>
        <w:pageBreakBefore w:val="0"/>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25.3（1）保修期：自实际交工日期起</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5</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年。保修期与缺陷责任期重叠的期间内，分包人的保修责任同缺陷责任。在缺陷责任期满后的保修期内，分包人可不在工地留有办事人员和机械设备，但必须随时与承包人保持联系，在保修期内，属于保修范围内的工程项目发现因分包人原因造成的工程缺陷，分包人应在接到维修通知之日后</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3</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 xml:space="preserve"> 天内派人无偿维修。</w:t>
      </w:r>
    </w:p>
    <w:p>
      <w:pPr>
        <w:pageBreakBefore w:val="0"/>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(2)若分包人不履行保修义务和责任，则分包人应承担相应的经济责任与法律责任。</w:t>
      </w:r>
    </w:p>
    <w:p>
      <w:pPr>
        <w:pStyle w:val="5"/>
        <w:pageBreakBefore w:val="0"/>
        <w:kinsoku/>
        <w:wordWrap/>
        <w:overflowPunct/>
        <w:topLinePunct w:val="0"/>
        <w:bidi w:val="0"/>
        <w:spacing w:before="0" w:after="0" w:line="360" w:lineRule="auto"/>
        <w:ind w:firstLine="566" w:firstLineChars="200"/>
        <w:jc w:val="center"/>
        <w:rPr>
          <w:rFonts w:hint="eastAsia" w:ascii="黑体" w:hAnsi="黑体" w:eastAsia="黑体" w:cs="黑体"/>
          <w:b w:val="0"/>
          <w:color w:val="auto"/>
          <w:sz w:val="28"/>
          <w:szCs w:val="28"/>
          <w:highlight w:val="none"/>
        </w:rPr>
      </w:pPr>
      <w:bookmarkStart w:id="855" w:name="_Toc9735"/>
      <w:bookmarkStart w:id="856" w:name="_Toc15738"/>
      <w:bookmarkStart w:id="857" w:name="_Toc11438"/>
      <w:bookmarkStart w:id="858" w:name="_Toc32188"/>
      <w:bookmarkStart w:id="859" w:name="_Toc9206"/>
      <w:bookmarkStart w:id="860" w:name="_Toc29451"/>
      <w:bookmarkStart w:id="861" w:name="_Toc25005_WPSOffice_Level2"/>
      <w:bookmarkStart w:id="862" w:name="_Toc4496"/>
      <w:bookmarkStart w:id="863" w:name="_Toc2463"/>
      <w:bookmarkStart w:id="864" w:name="_Toc12096"/>
      <w:bookmarkStart w:id="865" w:name="_Toc5641"/>
      <w:bookmarkStart w:id="866" w:name="_Toc26189"/>
      <w:bookmarkStart w:id="867" w:name="_Toc28676"/>
      <w:bookmarkStart w:id="868" w:name="_Toc11922703"/>
      <w:bookmarkStart w:id="869" w:name="_Toc6709"/>
      <w:r>
        <w:rPr>
          <w:rFonts w:hint="eastAsia" w:ascii="黑体" w:hAnsi="黑体" w:eastAsia="黑体" w:cs="黑体"/>
          <w:b w:val="0"/>
          <w:color w:val="auto"/>
          <w:sz w:val="28"/>
          <w:szCs w:val="28"/>
          <w:highlight w:val="none"/>
        </w:rPr>
        <w:t>八、违约、索赔及争议</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p>
    <w:p>
      <w:pPr>
        <w:pageBreakBefore w:val="0"/>
        <w:kinsoku/>
        <w:wordWrap/>
        <w:overflowPunct/>
        <w:topLinePunct w:val="0"/>
        <w:bidi w:val="0"/>
        <w:spacing w:line="360" w:lineRule="auto"/>
        <w:ind w:firstLine="486" w:firstLineChars="200"/>
        <w:outlineLvl w:val="3"/>
        <w:rPr>
          <w:rFonts w:hint="eastAsia" w:ascii="仿宋_GB2312" w:hAnsi="仿宋" w:eastAsia="仿宋_GB2312" w:cs="仿宋"/>
          <w:b/>
          <w:color w:val="auto"/>
          <w:kern w:val="0"/>
          <w:sz w:val="24"/>
          <w:szCs w:val="24"/>
          <w:highlight w:val="none"/>
        </w:rPr>
      </w:pPr>
      <w:bookmarkStart w:id="870" w:name="_Toc11922704"/>
      <w:bookmarkStart w:id="871" w:name="_Toc11922797"/>
      <w:r>
        <w:rPr>
          <w:rFonts w:hint="eastAsia" w:ascii="仿宋_GB2312" w:hAnsi="仿宋" w:eastAsia="仿宋_GB2312" w:cs="仿宋"/>
          <w:b/>
          <w:color w:val="auto"/>
          <w:kern w:val="0"/>
          <w:sz w:val="24"/>
          <w:szCs w:val="24"/>
          <w:highlight w:val="none"/>
        </w:rPr>
        <w:t>26．违约</w:t>
      </w:r>
      <w:bookmarkEnd w:id="870"/>
      <w:bookmarkEnd w:id="871"/>
      <w:r>
        <w:rPr>
          <w:rFonts w:hint="eastAsia" w:ascii="仿宋_GB2312" w:hAnsi="仿宋" w:eastAsia="仿宋_GB2312" w:cs="仿宋"/>
          <w:b/>
          <w:color w:val="auto"/>
          <w:kern w:val="0"/>
          <w:sz w:val="24"/>
          <w:szCs w:val="24"/>
          <w:highlight w:val="none"/>
        </w:rPr>
        <w:t xml:space="preserve"> </w:t>
      </w:r>
    </w:p>
    <w:p>
      <w:pPr>
        <w:pageBreakBefore w:val="0"/>
        <w:kinsoku/>
        <w:wordWrap/>
        <w:overflowPunct/>
        <w:topLinePunct w:val="0"/>
        <w:bidi w:val="0"/>
        <w:spacing w:line="360" w:lineRule="auto"/>
        <w:ind w:firstLine="486" w:firstLineChars="200"/>
        <w:rPr>
          <w:rFonts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 xml:space="preserve">26.1 </w:t>
      </w:r>
      <w:r>
        <w:rPr>
          <w:rFonts w:hint="eastAsia" w:ascii="仿宋_GB2312" w:hAnsi="仿宋" w:eastAsia="仿宋_GB2312" w:cs="仿宋"/>
          <w:color w:val="auto"/>
          <w:sz w:val="24"/>
          <w:szCs w:val="24"/>
          <w:highlight w:val="none"/>
        </w:rPr>
        <w:t>本合同关于承包人违约的具体责任：</w:t>
      </w:r>
    </w:p>
    <w:p>
      <w:pPr>
        <w:pageBreakBefore w:val="0"/>
        <w:kinsoku/>
        <w:wordWrap/>
        <w:overflowPunct/>
        <w:topLinePunct w:val="0"/>
        <w:bidi w:val="0"/>
        <w:spacing w:line="360" w:lineRule="auto"/>
        <w:ind w:firstLine="486" w:firstLineChars="200"/>
        <w:rPr>
          <w:rFonts w:hint="default" w:ascii="仿宋_GB2312" w:hAnsi="仿宋" w:eastAsia="仿宋_GB2312" w:cs="仿宋"/>
          <w:color w:val="auto"/>
          <w:sz w:val="24"/>
          <w:szCs w:val="24"/>
          <w:highlight w:val="none"/>
          <w:u w:val="single"/>
          <w:lang w:val="en-US" w:eastAsia="zh-CN"/>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1</w:t>
      </w:r>
      <w:r>
        <w:rPr>
          <w:rFonts w:hint="eastAsia" w:ascii="仿宋_GB2312" w:hAnsi="仿宋" w:eastAsia="仿宋_GB2312" w:cs="仿宋"/>
          <w:color w:val="auto"/>
          <w:sz w:val="24"/>
          <w:szCs w:val="24"/>
          <w:highlight w:val="none"/>
        </w:rPr>
        <w:t>）承包人违约应承担的违约责任：</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 xml:space="preserve">     /           </w:t>
      </w:r>
    </w:p>
    <w:p>
      <w:pPr>
        <w:pageBreakBefore w:val="0"/>
        <w:kinsoku/>
        <w:wordWrap/>
        <w:overflowPunct/>
        <w:topLinePunct w:val="0"/>
        <w:bidi w:val="0"/>
        <w:spacing w:line="360" w:lineRule="auto"/>
        <w:ind w:firstLine="486" w:firstLineChars="200"/>
        <w:rPr>
          <w:rFonts w:ascii="仿宋_GB2312" w:hAnsi="仿宋" w:eastAsia="仿宋_GB2312" w:cs="仿宋"/>
          <w:color w:val="auto"/>
          <w:sz w:val="24"/>
          <w:szCs w:val="24"/>
          <w:highlight w:val="none"/>
          <w:u w:val="singl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2</w:t>
      </w:r>
      <w:r>
        <w:rPr>
          <w:rFonts w:hint="eastAsia" w:ascii="仿宋_GB2312" w:hAnsi="仿宋" w:eastAsia="仿宋_GB2312" w:cs="仿宋"/>
          <w:color w:val="auto"/>
          <w:sz w:val="24"/>
          <w:szCs w:val="24"/>
          <w:highlight w:val="none"/>
        </w:rPr>
        <w:t>）双方约定的承包人的其他违约责任：</w:t>
      </w:r>
      <w:r>
        <w:rPr>
          <w:rFonts w:ascii="仿宋_GB2312" w:hAnsi="仿宋" w:eastAsia="仿宋_GB2312" w:cs="仿宋"/>
          <w:color w:val="auto"/>
          <w:sz w:val="24"/>
          <w:szCs w:val="24"/>
          <w:highlight w:val="none"/>
          <w:u w:val="single"/>
        </w:rPr>
        <w:tab/>
      </w:r>
      <w:r>
        <w:rPr>
          <w:rFonts w:ascii="仿宋_GB2312" w:hAnsi="仿宋" w:eastAsia="仿宋_GB2312" w:cs="仿宋"/>
          <w:color w:val="auto"/>
          <w:sz w:val="24"/>
          <w:szCs w:val="24"/>
          <w:highlight w:val="none"/>
          <w:u w:val="single"/>
        </w:rPr>
        <w:tab/>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w:t>
      </w:r>
      <w:r>
        <w:rPr>
          <w:rFonts w:ascii="仿宋_GB2312" w:hAnsi="仿宋" w:eastAsia="仿宋_GB2312" w:cs="仿宋"/>
          <w:color w:val="auto"/>
          <w:sz w:val="24"/>
          <w:szCs w:val="24"/>
          <w:highlight w:val="none"/>
          <w:u w:val="single"/>
        </w:rPr>
        <w:t xml:space="preserve">              </w:t>
      </w:r>
      <w:r>
        <w:rPr>
          <w:rFonts w:ascii="仿宋_GB2312" w:hAnsi="仿宋" w:eastAsia="仿宋_GB2312" w:cs="仿宋"/>
          <w:color w:val="auto"/>
          <w:sz w:val="24"/>
          <w:szCs w:val="24"/>
          <w:highlight w:val="none"/>
          <w:u w:val="single"/>
        </w:rPr>
        <w:tab/>
      </w:r>
    </w:p>
    <w:p>
      <w:pPr>
        <w:pageBreakBefore w:val="0"/>
        <w:kinsoku/>
        <w:wordWrap/>
        <w:overflowPunct/>
        <w:topLinePunct w:val="0"/>
        <w:bidi w:val="0"/>
        <w:spacing w:line="360" w:lineRule="auto"/>
        <w:ind w:firstLine="486" w:firstLineChars="200"/>
        <w:rPr>
          <w:rFonts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 xml:space="preserve">26.2 </w:t>
      </w:r>
      <w:r>
        <w:rPr>
          <w:rFonts w:hint="eastAsia" w:ascii="仿宋_GB2312" w:hAnsi="仿宋" w:eastAsia="仿宋_GB2312" w:cs="仿宋"/>
          <w:color w:val="auto"/>
          <w:sz w:val="24"/>
          <w:szCs w:val="24"/>
          <w:highlight w:val="none"/>
        </w:rPr>
        <w:t>本合同关于分包人违约的具体责任：</w:t>
      </w:r>
    </w:p>
    <w:p>
      <w:pPr>
        <w:pageBreakBefore w:val="0"/>
        <w:kinsoku/>
        <w:wordWrap/>
        <w:overflowPunct/>
        <w:topLinePunct w:val="0"/>
        <w:bidi w:val="0"/>
        <w:spacing w:line="360" w:lineRule="auto"/>
        <w:ind w:firstLine="486" w:firstLineChars="200"/>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1</w:t>
      </w:r>
      <w:r>
        <w:rPr>
          <w:rFonts w:hint="eastAsia" w:ascii="仿宋_GB2312" w:hAnsi="仿宋" w:eastAsia="仿宋_GB2312" w:cs="仿宋"/>
          <w:color w:val="auto"/>
          <w:sz w:val="24"/>
          <w:szCs w:val="24"/>
          <w:highlight w:val="none"/>
        </w:rPr>
        <w:t>）本合同通用条款第</w:t>
      </w:r>
      <w:r>
        <w:rPr>
          <w:rFonts w:ascii="仿宋_GB2312" w:hAnsi="仿宋" w:eastAsia="仿宋_GB2312" w:cs="仿宋"/>
          <w:color w:val="auto"/>
          <w:sz w:val="24"/>
          <w:szCs w:val="24"/>
          <w:highlight w:val="none"/>
        </w:rPr>
        <w:t>5.3</w:t>
      </w:r>
      <w:r>
        <w:rPr>
          <w:rFonts w:hint="eastAsia" w:ascii="仿宋_GB2312" w:hAnsi="仿宋" w:eastAsia="仿宋_GB2312" w:cs="仿宋"/>
          <w:color w:val="auto"/>
          <w:sz w:val="24"/>
          <w:szCs w:val="24"/>
          <w:highlight w:val="none"/>
        </w:rPr>
        <w:t>款约定的分包人违约应承担的违约责任：</w:t>
      </w:r>
      <w:r>
        <w:rPr>
          <w:rFonts w:hint="eastAsia" w:ascii="仿宋_GB2312" w:hAnsi="仿宋" w:eastAsia="仿宋_GB2312" w:cs="仿宋"/>
          <w:color w:val="auto"/>
          <w:sz w:val="24"/>
          <w:szCs w:val="24"/>
          <w:highlight w:val="none"/>
          <w:u w:val="single"/>
        </w:rPr>
        <w:t>需得到承包人同意，否则按</w:t>
      </w:r>
      <w:r>
        <w:rPr>
          <w:rFonts w:hint="eastAsia" w:ascii="仿宋_GB2312" w:hAnsi="仿宋" w:eastAsia="仿宋_GB2312" w:cs="仿宋"/>
          <w:color w:val="auto"/>
          <w:sz w:val="24"/>
          <w:szCs w:val="24"/>
          <w:highlight w:val="none"/>
          <w:u w:val="single"/>
          <w:lang w:val="en-US" w:eastAsia="zh-CN"/>
        </w:rPr>
        <w:t>1000</w:t>
      </w:r>
      <w:r>
        <w:rPr>
          <w:rFonts w:hint="eastAsia" w:ascii="仿宋_GB2312" w:hAnsi="仿宋" w:eastAsia="仿宋_GB2312" w:cs="仿宋"/>
          <w:color w:val="auto"/>
          <w:sz w:val="24"/>
          <w:szCs w:val="24"/>
          <w:highlight w:val="none"/>
          <w:u w:val="single"/>
        </w:rPr>
        <w:t>元</w:t>
      </w:r>
      <w:r>
        <w:rPr>
          <w:rFonts w:ascii="仿宋_GB2312" w:hAnsi="仿宋" w:eastAsia="仿宋_GB2312" w:cs="仿宋"/>
          <w:color w:val="auto"/>
          <w:sz w:val="24"/>
          <w:szCs w:val="24"/>
          <w:highlight w:val="none"/>
          <w:u w:val="single"/>
        </w:rPr>
        <w:t>/</w:t>
      </w:r>
      <w:r>
        <w:rPr>
          <w:rFonts w:hint="eastAsia" w:ascii="仿宋_GB2312" w:hAnsi="仿宋" w:eastAsia="仿宋_GB2312" w:cs="仿宋"/>
          <w:color w:val="auto"/>
          <w:sz w:val="24"/>
          <w:szCs w:val="24"/>
          <w:highlight w:val="none"/>
          <w:u w:val="single"/>
        </w:rPr>
        <w:t>次给予处罚</w:t>
      </w: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ab/>
      </w:r>
      <w:r>
        <w:rPr>
          <w:rFonts w:ascii="仿宋_GB2312" w:hAnsi="仿宋" w:eastAsia="仿宋_GB2312" w:cs="仿宋"/>
          <w:color w:val="auto"/>
          <w:sz w:val="24"/>
          <w:szCs w:val="24"/>
          <w:highlight w:val="none"/>
        </w:rPr>
        <w:tab/>
      </w:r>
      <w:r>
        <w:rPr>
          <w:rFonts w:ascii="仿宋_GB2312" w:hAnsi="仿宋" w:eastAsia="仿宋_GB2312" w:cs="仿宋"/>
          <w:color w:val="auto"/>
          <w:sz w:val="24"/>
          <w:szCs w:val="24"/>
          <w:highlight w:val="none"/>
        </w:rPr>
        <w:tab/>
      </w:r>
      <w:r>
        <w:rPr>
          <w:rFonts w:ascii="仿宋_GB2312" w:hAnsi="仿宋" w:eastAsia="仿宋_GB2312" w:cs="仿宋"/>
          <w:color w:val="auto"/>
          <w:sz w:val="24"/>
          <w:szCs w:val="24"/>
          <w:highlight w:val="none"/>
        </w:rPr>
        <w:tab/>
      </w:r>
    </w:p>
    <w:p>
      <w:pPr>
        <w:pageBreakBefore w:val="0"/>
        <w:kinsoku/>
        <w:wordWrap/>
        <w:overflowPunct/>
        <w:topLinePunct w:val="0"/>
        <w:bidi w:val="0"/>
        <w:spacing w:line="360" w:lineRule="auto"/>
        <w:ind w:firstLine="486" w:firstLineChars="200"/>
        <w:rPr>
          <w:rFonts w:ascii="仿宋_GB2312" w:hAnsi="仿宋" w:eastAsia="仿宋_GB2312" w:cs="仿宋"/>
          <w:color w:val="auto"/>
          <w:sz w:val="24"/>
          <w:szCs w:val="24"/>
          <w:highlight w:val="none"/>
          <w:u w:val="singl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2</w:t>
      </w:r>
      <w:r>
        <w:rPr>
          <w:rFonts w:hint="eastAsia" w:ascii="仿宋_GB2312" w:hAnsi="仿宋" w:eastAsia="仿宋_GB2312" w:cs="仿宋"/>
          <w:color w:val="auto"/>
          <w:sz w:val="24"/>
          <w:szCs w:val="24"/>
          <w:highlight w:val="none"/>
        </w:rPr>
        <w:t>）本合同通用条款第</w:t>
      </w:r>
      <w:r>
        <w:rPr>
          <w:rFonts w:ascii="仿宋_GB2312" w:hAnsi="仿宋" w:eastAsia="仿宋_GB2312" w:cs="仿宋"/>
          <w:color w:val="auto"/>
          <w:sz w:val="24"/>
          <w:szCs w:val="24"/>
          <w:highlight w:val="none"/>
        </w:rPr>
        <w:t>12.1</w:t>
      </w:r>
      <w:r>
        <w:rPr>
          <w:rFonts w:hint="eastAsia" w:ascii="仿宋_GB2312" w:hAnsi="仿宋" w:eastAsia="仿宋_GB2312" w:cs="仿宋"/>
          <w:color w:val="auto"/>
          <w:sz w:val="24"/>
          <w:szCs w:val="24"/>
          <w:highlight w:val="none"/>
        </w:rPr>
        <w:t>款约定的分包人违约应承担的违约责任：</w:t>
      </w:r>
      <w:r>
        <w:rPr>
          <w:rFonts w:ascii="仿宋_GB2312" w:hAnsi="仿宋" w:eastAsia="仿宋_GB2312" w:cs="仿宋"/>
          <w:color w:val="auto"/>
          <w:sz w:val="24"/>
          <w:szCs w:val="24"/>
          <w:highlight w:val="none"/>
          <w:u w:val="single"/>
        </w:rPr>
        <w:tab/>
      </w:r>
      <w:r>
        <w:rPr>
          <w:rFonts w:hint="eastAsia" w:ascii="仿宋_GB2312" w:hAnsi="仿宋" w:eastAsia="仿宋_GB2312" w:cs="仿宋"/>
          <w:color w:val="auto"/>
          <w:sz w:val="24"/>
          <w:szCs w:val="24"/>
          <w:highlight w:val="none"/>
          <w:u w:val="single"/>
        </w:rPr>
        <w:t>出现以下情况承包人有权单方解除合同，并按其已完工程造价的</w:t>
      </w:r>
      <w:r>
        <w:rPr>
          <w:rFonts w:hint="eastAsia" w:ascii="仿宋_GB2312" w:hAnsi="仿宋" w:eastAsia="仿宋_GB2312" w:cs="仿宋"/>
          <w:color w:val="auto"/>
          <w:sz w:val="24"/>
          <w:szCs w:val="24"/>
          <w:highlight w:val="none"/>
          <w:u w:val="single"/>
          <w:lang w:val="en-US" w:eastAsia="zh-CN"/>
        </w:rPr>
        <w:t>30</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rPr>
        <w:t>作为违约金：</w:t>
      </w:r>
      <w:r>
        <w:rPr>
          <w:rFonts w:ascii="仿宋_GB2312" w:hAnsi="仿宋" w:eastAsia="仿宋_GB2312" w:cs="仿宋"/>
          <w:color w:val="auto"/>
          <w:sz w:val="24"/>
          <w:szCs w:val="24"/>
          <w:highlight w:val="none"/>
          <w:u w:val="single"/>
        </w:rPr>
        <w:t>a</w:t>
      </w:r>
      <w:r>
        <w:rPr>
          <w:rFonts w:hint="eastAsia" w:ascii="仿宋_GB2312" w:hAnsi="仿宋" w:eastAsia="仿宋_GB2312" w:cs="仿宋"/>
          <w:color w:val="auto"/>
          <w:sz w:val="24"/>
          <w:szCs w:val="24"/>
          <w:highlight w:val="none"/>
          <w:u w:val="single"/>
        </w:rPr>
        <w:t>、分包人违法转包、非法分包的；</w:t>
      </w:r>
      <w:r>
        <w:rPr>
          <w:rFonts w:ascii="仿宋_GB2312" w:hAnsi="仿宋" w:eastAsia="仿宋_GB2312" w:cs="仿宋"/>
          <w:color w:val="auto"/>
          <w:sz w:val="24"/>
          <w:szCs w:val="24"/>
          <w:highlight w:val="none"/>
          <w:u w:val="single"/>
        </w:rPr>
        <w:t>b</w:t>
      </w:r>
      <w:r>
        <w:rPr>
          <w:rFonts w:hint="eastAsia" w:ascii="仿宋_GB2312" w:hAnsi="仿宋" w:eastAsia="仿宋_GB2312" w:cs="仿宋"/>
          <w:color w:val="auto"/>
          <w:sz w:val="24"/>
          <w:szCs w:val="24"/>
          <w:highlight w:val="none"/>
          <w:u w:val="single"/>
        </w:rPr>
        <w:t>、分包人出现挪用工程资金，陷入重大债权债务纠纷，并影响到本工程的正常实施；</w:t>
      </w:r>
      <w:r>
        <w:rPr>
          <w:rFonts w:ascii="仿宋_GB2312" w:hAnsi="仿宋" w:eastAsia="仿宋_GB2312" w:cs="仿宋"/>
          <w:color w:val="auto"/>
          <w:sz w:val="24"/>
          <w:szCs w:val="24"/>
          <w:highlight w:val="none"/>
          <w:u w:val="single"/>
        </w:rPr>
        <w:t>c</w:t>
      </w:r>
      <w:r>
        <w:rPr>
          <w:rFonts w:hint="eastAsia" w:ascii="仿宋_GB2312" w:hAnsi="仿宋" w:eastAsia="仿宋_GB2312" w:cs="仿宋"/>
          <w:color w:val="auto"/>
          <w:sz w:val="24"/>
          <w:szCs w:val="24"/>
          <w:highlight w:val="none"/>
          <w:u w:val="single"/>
        </w:rPr>
        <w:t>、分包人原因无法继续履行或明确表示不履行或实质上已经停止履行合同；</w:t>
      </w:r>
      <w:r>
        <w:rPr>
          <w:rFonts w:ascii="仿宋_GB2312" w:hAnsi="仿宋" w:eastAsia="仿宋_GB2312" w:cs="仿宋"/>
          <w:color w:val="auto"/>
          <w:sz w:val="24"/>
          <w:szCs w:val="24"/>
          <w:highlight w:val="none"/>
          <w:u w:val="single"/>
        </w:rPr>
        <w:t>d</w:t>
      </w:r>
      <w:r>
        <w:rPr>
          <w:rFonts w:hint="eastAsia" w:ascii="仿宋_GB2312" w:hAnsi="仿宋" w:eastAsia="仿宋_GB2312" w:cs="仿宋"/>
          <w:color w:val="auto"/>
          <w:sz w:val="24"/>
          <w:szCs w:val="24"/>
          <w:highlight w:val="none"/>
          <w:u w:val="single"/>
        </w:rPr>
        <w:t>、分包人违反合同约定，且未按照承包人要求及时纠正的；</w:t>
      </w:r>
      <w:r>
        <w:rPr>
          <w:rFonts w:ascii="仿宋_GB2312" w:hAnsi="仿宋" w:eastAsia="仿宋_GB2312" w:cs="仿宋"/>
          <w:color w:val="auto"/>
          <w:sz w:val="24"/>
          <w:szCs w:val="24"/>
          <w:highlight w:val="none"/>
          <w:u w:val="single"/>
        </w:rPr>
        <w:t>e</w:t>
      </w:r>
      <w:r>
        <w:rPr>
          <w:rFonts w:hint="eastAsia" w:ascii="仿宋_GB2312" w:hAnsi="仿宋" w:eastAsia="仿宋_GB2312" w:cs="仿宋"/>
          <w:color w:val="auto"/>
          <w:sz w:val="24"/>
          <w:szCs w:val="24"/>
          <w:highlight w:val="none"/>
          <w:u w:val="single"/>
        </w:rPr>
        <w:t>、如果分包人在合同履行期间公司资质、经营状况等发生重大变化以致无法继续履行合同。</w:t>
      </w:r>
    </w:p>
    <w:p>
      <w:pPr>
        <w:pageBreakBefore w:val="0"/>
        <w:kinsoku/>
        <w:wordWrap/>
        <w:overflowPunct/>
        <w:topLinePunct w:val="0"/>
        <w:bidi w:val="0"/>
        <w:spacing w:line="360" w:lineRule="auto"/>
        <w:ind w:firstLine="486" w:firstLineChars="200"/>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3</w:t>
      </w:r>
      <w:r>
        <w:rPr>
          <w:rFonts w:hint="eastAsia" w:ascii="仿宋_GB2312" w:hAnsi="仿宋" w:eastAsia="仿宋_GB2312" w:cs="仿宋"/>
          <w:color w:val="auto"/>
          <w:sz w:val="24"/>
          <w:szCs w:val="24"/>
          <w:highlight w:val="none"/>
        </w:rPr>
        <w:t>）本合同通用条款第</w:t>
      </w:r>
      <w:r>
        <w:rPr>
          <w:rFonts w:ascii="仿宋_GB2312" w:hAnsi="仿宋" w:eastAsia="仿宋_GB2312" w:cs="仿宋"/>
          <w:color w:val="auto"/>
          <w:sz w:val="24"/>
          <w:szCs w:val="24"/>
          <w:highlight w:val="none"/>
        </w:rPr>
        <w:t>16.2</w:t>
      </w:r>
      <w:r>
        <w:rPr>
          <w:rFonts w:hint="eastAsia" w:ascii="仿宋_GB2312" w:hAnsi="仿宋" w:eastAsia="仿宋_GB2312" w:cs="仿宋"/>
          <w:color w:val="auto"/>
          <w:sz w:val="24"/>
          <w:szCs w:val="24"/>
          <w:highlight w:val="none"/>
        </w:rPr>
        <w:t>款约定的分包人违约应承担的违约责任：按</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1000</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元</w:t>
      </w:r>
      <w:r>
        <w:rPr>
          <w:rFonts w:ascii="仿宋_GB2312" w:hAnsi="仿宋" w:eastAsia="仿宋_GB2312" w:cs="仿宋"/>
          <w:color w:val="auto"/>
          <w:sz w:val="24"/>
          <w:szCs w:val="24"/>
          <w:highlight w:val="none"/>
        </w:rPr>
        <w:t>/</w:t>
      </w:r>
      <w:r>
        <w:rPr>
          <w:rFonts w:hint="eastAsia" w:ascii="仿宋_GB2312" w:hAnsi="仿宋" w:eastAsia="仿宋_GB2312" w:cs="仿宋"/>
          <w:color w:val="auto"/>
          <w:sz w:val="24"/>
          <w:szCs w:val="24"/>
          <w:highlight w:val="none"/>
        </w:rPr>
        <w:t>天给予处罚。</w:t>
      </w:r>
    </w:p>
    <w:p>
      <w:pPr>
        <w:pageBreakBefore w:val="0"/>
        <w:kinsoku/>
        <w:wordWrap/>
        <w:overflowPunct/>
        <w:topLinePunct w:val="0"/>
        <w:bidi w:val="0"/>
        <w:spacing w:line="360" w:lineRule="auto"/>
        <w:ind w:firstLine="486" w:firstLineChars="200"/>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4</w:t>
      </w:r>
      <w:r>
        <w:rPr>
          <w:rFonts w:hint="eastAsia" w:ascii="仿宋_GB2312" w:hAnsi="仿宋" w:eastAsia="仿宋_GB2312" w:cs="仿宋"/>
          <w:color w:val="auto"/>
          <w:sz w:val="24"/>
          <w:szCs w:val="24"/>
          <w:highlight w:val="none"/>
        </w:rPr>
        <w:t>）本合同通用条款第</w:t>
      </w:r>
      <w:r>
        <w:rPr>
          <w:rFonts w:ascii="仿宋_GB2312" w:hAnsi="仿宋" w:eastAsia="仿宋_GB2312" w:cs="仿宋"/>
          <w:color w:val="auto"/>
          <w:sz w:val="24"/>
          <w:szCs w:val="24"/>
          <w:highlight w:val="none"/>
        </w:rPr>
        <w:t>17.1</w:t>
      </w:r>
      <w:r>
        <w:rPr>
          <w:rFonts w:hint="eastAsia" w:ascii="仿宋_GB2312" w:hAnsi="仿宋" w:eastAsia="仿宋_GB2312" w:cs="仿宋"/>
          <w:color w:val="auto"/>
          <w:sz w:val="24"/>
          <w:szCs w:val="24"/>
          <w:highlight w:val="none"/>
        </w:rPr>
        <w:t>款约定的分包人违约应承担的违约责任：</w:t>
      </w:r>
      <w:r>
        <w:rPr>
          <w:rFonts w:hint="eastAsia" w:ascii="仿宋_GB2312" w:hAnsi="仿宋" w:eastAsia="仿宋_GB2312" w:cs="仿宋"/>
          <w:color w:val="auto"/>
          <w:sz w:val="24"/>
          <w:szCs w:val="24"/>
          <w:highlight w:val="none"/>
          <w:u w:val="single"/>
        </w:rPr>
        <w:t>分包人需无条件返工至合格，并承担</w:t>
      </w:r>
      <w:r>
        <w:rPr>
          <w:rFonts w:hint="eastAsia" w:ascii="仿宋_GB2312" w:hAnsi="仿宋" w:eastAsia="仿宋_GB2312" w:cs="仿宋"/>
          <w:color w:val="auto"/>
          <w:sz w:val="24"/>
          <w:szCs w:val="24"/>
          <w:highlight w:val="none"/>
          <w:u w:val="single"/>
          <w:lang w:val="en-US" w:eastAsia="zh-CN"/>
        </w:rPr>
        <w:t>10</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rPr>
        <w:t>的质量违约金</w:t>
      </w: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ab/>
      </w:r>
    </w:p>
    <w:p>
      <w:pPr>
        <w:pageBreakBefore w:val="0"/>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5</w:t>
      </w:r>
      <w:r>
        <w:rPr>
          <w:rFonts w:hint="eastAsia" w:ascii="仿宋_GB2312" w:hAnsi="仿宋" w:eastAsia="仿宋_GB2312" w:cs="仿宋"/>
          <w:color w:val="auto"/>
          <w:sz w:val="24"/>
          <w:szCs w:val="24"/>
          <w:highlight w:val="none"/>
        </w:rPr>
        <w:t>）双方约定的分包人的其他违约责任：</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 xml:space="preserve"> </w:t>
      </w:r>
    </w:p>
    <w:p>
      <w:pPr>
        <w:pageBreakBefore w:val="0"/>
        <w:kinsoku/>
        <w:wordWrap/>
        <w:overflowPunct/>
        <w:topLinePunct w:val="0"/>
        <w:bidi w:val="0"/>
        <w:spacing w:line="360" w:lineRule="auto"/>
        <w:ind w:firstLine="486" w:firstLineChars="200"/>
        <w:rPr>
          <w:rFonts w:hint="eastAsia" w:ascii="仿宋_GB2312" w:hAnsi="仿宋" w:eastAsia="仿宋_GB2312" w:cs="仿宋"/>
          <w:b/>
          <w:color w:val="auto"/>
          <w:kern w:val="0"/>
          <w:sz w:val="24"/>
          <w:szCs w:val="24"/>
          <w:highlight w:val="none"/>
        </w:rPr>
      </w:pPr>
      <w:r>
        <w:rPr>
          <w:rFonts w:hint="eastAsia" w:ascii="仿宋_GB2312" w:hAnsi="仿宋" w:eastAsia="仿宋_GB2312" w:cs="仿宋"/>
          <w:color w:val="auto"/>
          <w:sz w:val="24"/>
          <w:szCs w:val="24"/>
          <w:highlight w:val="none"/>
        </w:rPr>
        <w:t>26.4在合同施工过程中，分包人因账户冻结或资质吊销等导致合同无法继续履约需终止合同的，分包人须向承包人支付合同总价</w:t>
      </w:r>
      <w:r>
        <w:rPr>
          <w:rFonts w:ascii="仿宋_GB2312" w:hAnsi="仿宋" w:eastAsia="仿宋_GB2312" w:cs="仿宋"/>
          <w:color w:val="auto"/>
          <w:sz w:val="24"/>
          <w:szCs w:val="24"/>
          <w:highlight w:val="none"/>
        </w:rPr>
        <w:t xml:space="preserve"> </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20</w:t>
      </w:r>
      <w:r>
        <w:rPr>
          <w:rFonts w:ascii="仿宋_GB2312" w:hAnsi="仿宋" w:eastAsia="仿宋_GB2312" w:cs="仿宋"/>
          <w:color w:val="auto"/>
          <w:sz w:val="24"/>
          <w:szCs w:val="24"/>
          <w:highlight w:val="none"/>
          <w:u w:val="single"/>
        </w:rPr>
        <w:t xml:space="preserve"> </w:t>
      </w:r>
      <w:r>
        <w:rPr>
          <w:rFonts w:ascii="仿宋_GB2312" w:hAnsi="仿宋" w:eastAsia="仿宋_GB2312" w:cs="仿宋"/>
          <w:color w:val="auto"/>
          <w:sz w:val="24"/>
          <w:szCs w:val="24"/>
          <w:highlight w:val="none"/>
        </w:rPr>
        <w:t>%</w:t>
      </w:r>
      <w:r>
        <w:rPr>
          <w:rFonts w:hint="eastAsia" w:ascii="仿宋_GB2312" w:hAnsi="仿宋" w:eastAsia="仿宋_GB2312" w:cs="仿宋"/>
          <w:color w:val="auto"/>
          <w:sz w:val="24"/>
          <w:szCs w:val="24"/>
          <w:highlight w:val="none"/>
        </w:rPr>
        <w:t>的违约金。</w:t>
      </w:r>
      <w:bookmarkStart w:id="872" w:name="_Toc11922705"/>
      <w:bookmarkStart w:id="873" w:name="_Toc11922798"/>
    </w:p>
    <w:p>
      <w:pPr>
        <w:pageBreakBefore w:val="0"/>
        <w:kinsoku/>
        <w:wordWrap/>
        <w:overflowPunct/>
        <w:topLinePunct w:val="0"/>
        <w:bidi w:val="0"/>
        <w:spacing w:line="360" w:lineRule="auto"/>
        <w:ind w:firstLine="486" w:firstLineChars="200"/>
        <w:outlineLvl w:val="3"/>
        <w:rPr>
          <w:rFonts w:hint="eastAsia" w:ascii="仿宋_GB2312" w:hAnsi="仿宋" w:eastAsia="仿宋_GB2312" w:cs="仿宋"/>
          <w:b/>
          <w:color w:val="auto"/>
          <w:kern w:val="0"/>
          <w:sz w:val="24"/>
          <w:szCs w:val="24"/>
          <w:highlight w:val="none"/>
        </w:rPr>
      </w:pPr>
      <w:r>
        <w:rPr>
          <w:rFonts w:hint="eastAsia" w:ascii="仿宋_GB2312" w:hAnsi="仿宋" w:eastAsia="仿宋_GB2312" w:cs="仿宋"/>
          <w:b/>
          <w:color w:val="auto"/>
          <w:kern w:val="0"/>
          <w:sz w:val="24"/>
          <w:szCs w:val="24"/>
          <w:highlight w:val="none"/>
        </w:rPr>
        <w:t>28．争议</w:t>
      </w:r>
      <w:bookmarkEnd w:id="872"/>
      <w:bookmarkEnd w:id="873"/>
    </w:p>
    <w:p>
      <w:pPr>
        <w:pageBreakBefore w:val="0"/>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28.1 双方约定，在履行分包合同过程中发生争议，双方协商解决或者调解不成时，按下列</w:t>
      </w:r>
      <w:r>
        <w:rPr>
          <w:rFonts w:hint="eastAsia" w:ascii="仿宋_GB2312" w:hAnsi="仿宋" w:eastAsia="仿宋_GB2312" w:cs="仿宋"/>
          <w:color w:val="auto"/>
          <w:sz w:val="24"/>
          <w:szCs w:val="24"/>
          <w:highlight w:val="none"/>
          <w:u w:val="single"/>
        </w:rPr>
        <w:t xml:space="preserve">第  （2）   </w:t>
      </w:r>
      <w:r>
        <w:rPr>
          <w:rFonts w:hint="eastAsia" w:ascii="仿宋_GB2312" w:hAnsi="仿宋" w:eastAsia="仿宋_GB2312" w:cs="仿宋"/>
          <w:color w:val="auto"/>
          <w:sz w:val="24"/>
          <w:szCs w:val="24"/>
          <w:highlight w:val="none"/>
        </w:rPr>
        <w:t>种方式解决争议：</w:t>
      </w:r>
    </w:p>
    <w:p>
      <w:pPr>
        <w:pageBreakBefore w:val="0"/>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（1）将争议提交仲裁委员会申请仲裁；</w:t>
      </w:r>
    </w:p>
    <w:p>
      <w:pPr>
        <w:pageBreakBefore w:val="0"/>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（2）依法向有管辖权的人民法院提起诉讼</w:t>
      </w:r>
    </w:p>
    <w:p>
      <w:pPr>
        <w:pStyle w:val="5"/>
        <w:pageBreakBefore w:val="0"/>
        <w:kinsoku/>
        <w:wordWrap/>
        <w:overflowPunct/>
        <w:topLinePunct w:val="0"/>
        <w:bidi w:val="0"/>
        <w:spacing w:before="0" w:after="0" w:line="360" w:lineRule="auto"/>
        <w:ind w:firstLine="566" w:firstLineChars="200"/>
        <w:jc w:val="center"/>
        <w:rPr>
          <w:rFonts w:hint="eastAsia" w:ascii="黑体" w:hAnsi="黑体" w:eastAsia="黑体" w:cs="黑体"/>
          <w:b/>
          <w:bCs w:val="0"/>
          <w:color w:val="auto"/>
          <w:sz w:val="28"/>
          <w:szCs w:val="28"/>
          <w:highlight w:val="none"/>
        </w:rPr>
      </w:pPr>
      <w:bookmarkStart w:id="874" w:name="_Toc12329"/>
      <w:bookmarkStart w:id="875" w:name="_Toc27909"/>
      <w:r>
        <w:rPr>
          <w:rFonts w:hint="eastAsia" w:ascii="黑体" w:hAnsi="黑体" w:eastAsia="黑体" w:cs="黑体"/>
          <w:b/>
          <w:bCs w:val="0"/>
          <w:color w:val="auto"/>
          <w:sz w:val="28"/>
          <w:szCs w:val="28"/>
          <w:highlight w:val="none"/>
          <w:lang w:val="en-US" w:eastAsia="zh-CN"/>
        </w:rPr>
        <w:t>九</w:t>
      </w:r>
      <w:r>
        <w:rPr>
          <w:rFonts w:hint="eastAsia" w:ascii="黑体" w:hAnsi="黑体" w:eastAsia="黑体" w:cs="黑体"/>
          <w:b/>
          <w:bCs w:val="0"/>
          <w:color w:val="auto"/>
          <w:sz w:val="28"/>
          <w:szCs w:val="28"/>
          <w:highlight w:val="none"/>
        </w:rPr>
        <w:t>、保障、保险及担保</w:t>
      </w:r>
      <w:bookmarkEnd w:id="837"/>
      <w:bookmarkEnd w:id="838"/>
      <w:bookmarkEnd w:id="839"/>
      <w:bookmarkEnd w:id="840"/>
      <w:bookmarkEnd w:id="841"/>
      <w:bookmarkEnd w:id="842"/>
      <w:bookmarkEnd w:id="843"/>
      <w:bookmarkEnd w:id="844"/>
      <w:bookmarkEnd w:id="845"/>
      <w:bookmarkEnd w:id="846"/>
      <w:bookmarkEnd w:id="847"/>
      <w:bookmarkEnd w:id="848"/>
      <w:bookmarkEnd w:id="874"/>
      <w:bookmarkEnd w:id="875"/>
    </w:p>
    <w:p>
      <w:pPr>
        <w:pageBreakBefore w:val="0"/>
        <w:tabs>
          <w:tab w:val="left" w:pos="3701"/>
        </w:tabs>
        <w:kinsoku/>
        <w:wordWrap/>
        <w:overflowPunct/>
        <w:topLinePunct w:val="0"/>
        <w:bidi w:val="0"/>
        <w:spacing w:line="360" w:lineRule="auto"/>
        <w:rPr>
          <w:rFonts w:hint="eastAsia" w:ascii="仿宋_GB2312" w:hAnsi="仿宋" w:eastAsia="仿宋_GB2312" w:cs="仿宋"/>
          <w:b/>
          <w:color w:val="auto"/>
          <w:kern w:val="0"/>
          <w:sz w:val="24"/>
          <w:szCs w:val="24"/>
          <w:highlight w:val="none"/>
        </w:rPr>
      </w:pPr>
      <w:r>
        <w:rPr>
          <w:rFonts w:hint="eastAsia" w:ascii="仿宋_GB2312" w:hAnsi="仿宋_GB2312" w:eastAsia="仿宋_GB2312" w:cs="仿宋_GB2312"/>
          <w:color w:val="auto"/>
          <w:highlight w:val="none"/>
          <w:lang w:eastAsia="zh-CN"/>
        </w:rPr>
        <w:tab/>
      </w:r>
      <w:bookmarkStart w:id="876" w:name="_Toc11922800"/>
      <w:bookmarkStart w:id="877" w:name="_Toc11922707"/>
      <w:r>
        <w:rPr>
          <w:rFonts w:hint="eastAsia" w:ascii="仿宋_GB2312" w:hAnsi="仿宋" w:eastAsia="仿宋_GB2312" w:cs="仿宋"/>
          <w:b/>
          <w:color w:val="auto"/>
          <w:kern w:val="0"/>
          <w:sz w:val="24"/>
          <w:szCs w:val="24"/>
          <w:highlight w:val="none"/>
        </w:rPr>
        <w:t>30．保险</w:t>
      </w:r>
      <w:bookmarkEnd w:id="876"/>
      <w:bookmarkEnd w:id="877"/>
    </w:p>
    <w:p>
      <w:pPr>
        <w:pageBreakBefore w:val="0"/>
        <w:kinsoku/>
        <w:wordWrap/>
        <w:overflowPunct/>
        <w:topLinePunct w:val="0"/>
        <w:bidi w:val="0"/>
        <w:spacing w:line="360" w:lineRule="auto"/>
        <w:rPr>
          <w:rFonts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 xml:space="preserve">    30.</w:t>
      </w:r>
      <w:r>
        <w:rPr>
          <w:rFonts w:hint="eastAsia" w:ascii="仿宋_GB2312" w:hAnsi="仿宋" w:eastAsia="仿宋_GB2312" w:cs="仿宋"/>
          <w:color w:val="auto"/>
          <w:sz w:val="24"/>
          <w:szCs w:val="24"/>
          <w:highlight w:val="none"/>
        </w:rPr>
        <w:t>4</w:t>
      </w:r>
      <w:r>
        <w:rPr>
          <w:rFonts w:ascii="仿宋_GB2312" w:hAnsi="仿宋" w:eastAsia="仿宋_GB2312" w:cs="仿宋"/>
          <w:color w:val="auto"/>
          <w:sz w:val="24"/>
          <w:szCs w:val="24"/>
          <w:highlight w:val="none"/>
        </w:rPr>
        <w:t xml:space="preserve"> </w:t>
      </w:r>
      <w:r>
        <w:rPr>
          <w:rFonts w:hint="eastAsia" w:ascii="仿宋_GB2312" w:hAnsi="仿宋" w:eastAsia="仿宋_GB2312" w:cs="仿宋"/>
          <w:color w:val="auto"/>
          <w:sz w:val="24"/>
          <w:szCs w:val="24"/>
          <w:highlight w:val="none"/>
        </w:rPr>
        <w:t>承包人投保内容和责任：</w:t>
      </w:r>
      <w:r>
        <w:rPr>
          <w:rFonts w:ascii="仿宋_GB2312" w:hAnsi="仿宋" w:eastAsia="仿宋_GB2312" w:cs="仿宋"/>
          <w:color w:val="auto"/>
          <w:sz w:val="24"/>
          <w:szCs w:val="24"/>
          <w:highlight w:val="none"/>
          <w:u w:val="single"/>
        </w:rPr>
        <w:tab/>
      </w:r>
      <w:r>
        <w:rPr>
          <w:rFonts w:hint="eastAsia" w:ascii="仿宋_GB2312" w:hAnsi="仿宋" w:eastAsia="仿宋_GB2312" w:cs="仿宋"/>
          <w:color w:val="auto"/>
          <w:sz w:val="24"/>
          <w:szCs w:val="24"/>
          <w:highlight w:val="none"/>
          <w:u w:val="single"/>
        </w:rPr>
        <w:t>承包人根据总包合同投保，分包人承担相应比例费用。</w:t>
      </w:r>
    </w:p>
    <w:p>
      <w:pPr>
        <w:pageBreakBefore w:val="0"/>
        <w:kinsoku/>
        <w:wordWrap/>
        <w:overflowPunct/>
        <w:topLinePunct w:val="0"/>
        <w:bidi w:val="0"/>
        <w:spacing w:line="360" w:lineRule="auto"/>
        <w:rPr>
          <w:rFonts w:hint="eastAsia" w:ascii="仿宋_GB2312" w:hAnsi="仿宋_GB2312" w:eastAsia="仿宋_GB2312" w:cs="仿宋_GB2312"/>
          <w:color w:val="auto"/>
          <w:sz w:val="24"/>
          <w:szCs w:val="24"/>
          <w:highlight w:val="none"/>
          <w:u w:val="single"/>
          <w:lang w:eastAsia="zh-CN"/>
        </w:rPr>
      </w:pPr>
      <w:r>
        <w:rPr>
          <w:rFonts w:hint="eastAsia" w:ascii="仿宋_GB2312" w:hAnsi="仿宋_GB2312" w:eastAsia="仿宋_GB2312" w:cs="仿宋_GB2312"/>
          <w:color w:val="auto"/>
          <w:sz w:val="24"/>
          <w:szCs w:val="24"/>
          <w:highlight w:val="none"/>
        </w:rPr>
        <w:t xml:space="preserve">     分包人投保内容和责任：</w:t>
      </w:r>
      <w:r>
        <w:rPr>
          <w:rFonts w:hint="eastAsia" w:ascii="仿宋_GB2312" w:hAnsi="仿宋_GB2312" w:eastAsia="仿宋_GB2312" w:cs="仿宋_GB2312"/>
          <w:color w:val="auto"/>
          <w:sz w:val="24"/>
          <w:szCs w:val="24"/>
          <w:highlight w:val="none"/>
          <w:u w:val="single"/>
        </w:rPr>
        <w:t>分包人可根据自身要求追加投保范围及内容，费用由分包人承担。</w:t>
      </w:r>
      <w:r>
        <w:rPr>
          <w:rFonts w:hint="eastAsia" w:ascii="仿宋_GB2312" w:hAnsi="仿宋_GB2312" w:eastAsia="仿宋_GB2312" w:cs="仿宋_GB2312"/>
          <w:color w:val="auto"/>
          <w:sz w:val="24"/>
          <w:szCs w:val="24"/>
          <w:highlight w:val="none"/>
          <w:u w:val="single"/>
          <w:lang w:val="en-US" w:eastAsia="zh-CN"/>
        </w:rPr>
        <w:t>分包人为自有人员购买工伤保险等国家强制性要求购买的险种。如因分包人原因未购买，则产生的一切法律责任及经济责任由分包人承担。</w:t>
      </w:r>
    </w:p>
    <w:p>
      <w:pPr>
        <w:pageBreakBefore w:val="0"/>
        <w:kinsoku/>
        <w:wordWrap/>
        <w:overflowPunct/>
        <w:topLinePunct w:val="0"/>
        <w:bidi w:val="0"/>
        <w:spacing w:line="360" w:lineRule="auto"/>
        <w:ind w:firstLine="486" w:firstLineChars="200"/>
        <w:outlineLvl w:val="3"/>
        <w:rPr>
          <w:rFonts w:hint="eastAsia" w:ascii="仿宋_GB2312" w:hAnsi="仿宋" w:eastAsia="仿宋_GB2312" w:cs="仿宋"/>
          <w:b/>
          <w:color w:val="auto"/>
          <w:kern w:val="0"/>
          <w:sz w:val="24"/>
          <w:szCs w:val="24"/>
          <w:highlight w:val="none"/>
        </w:rPr>
      </w:pPr>
      <w:r>
        <w:rPr>
          <w:rFonts w:hint="eastAsia" w:ascii="仿宋_GB2312" w:hAnsi="仿宋" w:eastAsia="仿宋_GB2312" w:cs="仿宋"/>
          <w:b/>
          <w:color w:val="auto"/>
          <w:kern w:val="0"/>
          <w:sz w:val="24"/>
          <w:szCs w:val="24"/>
          <w:highlight w:val="none"/>
        </w:rPr>
        <w:t>31．担保</w:t>
      </w:r>
    </w:p>
    <w:p>
      <w:pPr>
        <w:pageBreakBefore w:val="0"/>
        <w:kinsoku/>
        <w:wordWrap/>
        <w:overflowPunct/>
        <w:topLinePunct w:val="0"/>
        <w:bidi w:val="0"/>
        <w:spacing w:line="360" w:lineRule="auto"/>
        <w:ind w:firstLine="435"/>
        <w:rPr>
          <w:rFonts w:hint="eastAsia" w:ascii="仿宋_GB2312" w:hAnsi="仿宋" w:eastAsia="仿宋_GB2312" w:cs="仿宋"/>
          <w:color w:val="auto"/>
          <w:sz w:val="24"/>
          <w:szCs w:val="24"/>
          <w:highlight w:val="none"/>
          <w:u w:val="single"/>
          <w:lang w:eastAsia="zh-CN"/>
        </w:rPr>
      </w:pPr>
      <w:r>
        <w:rPr>
          <w:rFonts w:ascii="仿宋_GB2312" w:hAnsi="仿宋" w:eastAsia="仿宋_GB2312" w:cs="仿宋"/>
          <w:color w:val="auto"/>
          <w:sz w:val="24"/>
          <w:szCs w:val="24"/>
          <w:highlight w:val="none"/>
        </w:rPr>
        <w:t xml:space="preserve">31.1 </w:t>
      </w:r>
      <w:r>
        <w:rPr>
          <w:rFonts w:hint="eastAsia" w:ascii="仿宋_GB2312" w:hAnsi="仿宋" w:eastAsia="仿宋_GB2312" w:cs="仿宋"/>
          <w:color w:val="auto"/>
          <w:sz w:val="24"/>
          <w:szCs w:val="24"/>
          <w:highlight w:val="none"/>
        </w:rPr>
        <w:t>承包人向分包人提供支付担保，担保方式：</w:t>
      </w:r>
      <w:r>
        <w:rPr>
          <w:rFonts w:hint="eastAsia" w:ascii="仿宋_GB2312" w:hAnsi="仿宋" w:eastAsia="仿宋_GB2312" w:cs="仿宋"/>
          <w:color w:val="auto"/>
          <w:sz w:val="24"/>
          <w:szCs w:val="24"/>
          <w:highlight w:val="none"/>
          <w:u w:val="single"/>
          <w:lang w:val="en-US" w:eastAsia="zh-CN"/>
        </w:rPr>
        <w:t xml:space="preserve"> 无 </w:t>
      </w:r>
      <w:r>
        <w:rPr>
          <w:rFonts w:hint="eastAsia" w:ascii="仿宋_GB2312" w:hAnsi="仿宋" w:eastAsia="仿宋_GB2312" w:cs="仿宋"/>
          <w:color w:val="auto"/>
          <w:sz w:val="24"/>
          <w:szCs w:val="24"/>
          <w:highlight w:val="none"/>
        </w:rPr>
        <w:t>；担保额</w:t>
      </w:r>
      <w:r>
        <w:rPr>
          <w:rFonts w:hint="eastAsia" w:ascii="仿宋_GB2312" w:hAnsi="仿宋" w:eastAsia="仿宋_GB2312" w:cs="仿宋"/>
          <w:color w:val="auto"/>
          <w:sz w:val="24"/>
          <w:szCs w:val="24"/>
          <w:highlight w:val="none"/>
          <w:lang w:val="en-US" w:eastAsia="zh-CN"/>
        </w:rPr>
        <w:t>度</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无</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none"/>
        </w:rPr>
        <w:t>。</w:t>
      </w:r>
    </w:p>
    <w:p>
      <w:pPr>
        <w:pageBreakBefore w:val="0"/>
        <w:kinsoku/>
        <w:wordWrap/>
        <w:overflowPunct/>
        <w:topLinePunct w:val="0"/>
        <w:bidi w:val="0"/>
        <w:spacing w:line="360" w:lineRule="auto"/>
        <w:ind w:firstLine="435"/>
        <w:rPr>
          <w:rFonts w:ascii="仿宋_GB2312" w:hAnsi="仿宋" w:eastAsia="仿宋_GB2312" w:cs="仿宋"/>
          <w:color w:val="auto"/>
          <w:sz w:val="24"/>
          <w:szCs w:val="24"/>
          <w:highlight w:val="none"/>
          <w:u w:val="single"/>
        </w:rPr>
      </w:pPr>
      <w:r>
        <w:rPr>
          <w:rFonts w:ascii="仿宋_GB2312" w:hAnsi="仿宋" w:eastAsia="仿宋_GB2312" w:cs="仿宋"/>
          <w:color w:val="auto"/>
          <w:sz w:val="24"/>
          <w:szCs w:val="24"/>
          <w:highlight w:val="none"/>
        </w:rPr>
        <w:t xml:space="preserve">31.2 </w:t>
      </w:r>
      <w:r>
        <w:rPr>
          <w:rFonts w:hint="eastAsia" w:ascii="仿宋_GB2312" w:hAnsi="仿宋" w:eastAsia="仿宋_GB2312" w:cs="仿宋"/>
          <w:color w:val="auto"/>
          <w:sz w:val="24"/>
          <w:szCs w:val="24"/>
          <w:highlight w:val="none"/>
        </w:rPr>
        <w:t>分包人向承包人提供履约担保，担保方式：</w:t>
      </w:r>
      <w:r>
        <w:rPr>
          <w:rFonts w:ascii="仿宋_GB2312" w:hAnsi="仿宋" w:eastAsia="仿宋_GB2312" w:cs="仿宋"/>
          <w:color w:val="auto"/>
          <w:sz w:val="24"/>
          <w:szCs w:val="24"/>
          <w:highlight w:val="none"/>
          <w:u w:val="single"/>
        </w:rPr>
        <w:tab/>
      </w:r>
      <w:r>
        <w:rPr>
          <w:rFonts w:hint="eastAsia" w:ascii="仿宋_GB2312" w:hAnsi="仿宋" w:eastAsia="仿宋_GB2312" w:cs="仿宋"/>
          <w:color w:val="auto"/>
          <w:sz w:val="24"/>
          <w:szCs w:val="24"/>
          <w:highlight w:val="none"/>
          <w:u w:val="single"/>
          <w:lang w:val="en-US" w:eastAsia="zh-CN"/>
        </w:rPr>
        <w:t xml:space="preserve"> / </w:t>
      </w:r>
      <w:r>
        <w:rPr>
          <w:rFonts w:hint="eastAsia" w:ascii="仿宋_GB2312" w:hAnsi="仿宋" w:eastAsia="仿宋_GB2312" w:cs="仿宋"/>
          <w:color w:val="auto"/>
          <w:sz w:val="24"/>
          <w:szCs w:val="24"/>
          <w:highlight w:val="none"/>
        </w:rPr>
        <w:t>；担保额度</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none"/>
        </w:rPr>
        <w:t>。</w:t>
      </w:r>
    </w:p>
    <w:p>
      <w:pPr>
        <w:pageBreakBefore w:val="0"/>
        <w:kinsoku/>
        <w:wordWrap/>
        <w:overflowPunct/>
        <w:topLinePunct w:val="0"/>
        <w:bidi w:val="0"/>
        <w:spacing w:line="360" w:lineRule="auto"/>
        <w:ind w:firstLine="435"/>
        <w:rPr>
          <w:rFonts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31.</w:t>
      </w:r>
      <w:r>
        <w:rPr>
          <w:rFonts w:hint="eastAsia" w:ascii="仿宋_GB2312" w:hAnsi="仿宋" w:eastAsia="仿宋_GB2312" w:cs="仿宋"/>
          <w:color w:val="auto"/>
          <w:sz w:val="24"/>
          <w:szCs w:val="24"/>
          <w:highlight w:val="none"/>
        </w:rPr>
        <w:t>4分包人向承包人提供质量保证金：</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 xml:space="preserve">3%  </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w:t>
      </w:r>
    </w:p>
    <w:p>
      <w:pPr>
        <w:pageBreakBefore w:val="0"/>
        <w:kinsoku/>
        <w:wordWrap/>
        <w:overflowPunct/>
        <w:topLinePunct w:val="0"/>
        <w:bidi w:val="0"/>
        <w:spacing w:line="360" w:lineRule="auto"/>
        <w:ind w:firstLine="435"/>
        <w:rPr>
          <w:rFonts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31.</w:t>
      </w:r>
      <w:r>
        <w:rPr>
          <w:rFonts w:hint="eastAsia" w:ascii="仿宋_GB2312" w:hAnsi="仿宋" w:eastAsia="仿宋_GB2312" w:cs="仿宋"/>
          <w:color w:val="auto"/>
          <w:sz w:val="24"/>
          <w:szCs w:val="24"/>
          <w:highlight w:val="none"/>
        </w:rPr>
        <w:t>5分包人向承包人提供农民工工资保证金：月支付进度款的</w:t>
      </w:r>
      <w:r>
        <w:rPr>
          <w:rFonts w:hint="eastAsia" w:ascii="仿宋_GB2312" w:hAnsi="仿宋" w:eastAsia="仿宋_GB2312" w:cs="仿宋"/>
          <w:color w:val="auto"/>
          <w:sz w:val="24"/>
          <w:szCs w:val="24"/>
          <w:highlight w:val="none"/>
          <w:u w:val="single"/>
          <w:lang w:val="en-US" w:eastAsia="zh-CN"/>
        </w:rPr>
        <w:t>/</w:t>
      </w:r>
      <w:r>
        <w:rPr>
          <w:rFonts w:ascii="仿宋_GB2312" w:hAnsi="仿宋" w:eastAsia="仿宋_GB2312" w:cs="仿宋"/>
          <w:color w:val="auto"/>
          <w:sz w:val="24"/>
          <w:szCs w:val="24"/>
          <w:highlight w:val="none"/>
          <w:u w:val="single"/>
        </w:rPr>
        <w:t xml:space="preserve"> </w:t>
      </w:r>
      <w:r>
        <w:rPr>
          <w:rFonts w:ascii="仿宋_GB2312" w:hAnsi="仿宋" w:eastAsia="仿宋_GB2312" w:cs="仿宋"/>
          <w:color w:val="auto"/>
          <w:sz w:val="24"/>
          <w:szCs w:val="24"/>
          <w:highlight w:val="none"/>
        </w:rPr>
        <w:t>%</w:t>
      </w:r>
      <w:r>
        <w:rPr>
          <w:rFonts w:hint="eastAsia" w:ascii="仿宋_GB2312" w:hAnsi="仿宋" w:eastAsia="仿宋_GB2312" w:cs="仿宋"/>
          <w:color w:val="auto"/>
          <w:sz w:val="24"/>
          <w:szCs w:val="24"/>
          <w:highlight w:val="none"/>
        </w:rPr>
        <w:t>。</w:t>
      </w:r>
    </w:p>
    <w:p>
      <w:pPr>
        <w:pageBreakBefore w:val="0"/>
        <w:kinsoku/>
        <w:wordWrap/>
        <w:overflowPunct/>
        <w:topLinePunct w:val="0"/>
        <w:bidi w:val="0"/>
        <w:spacing w:line="360" w:lineRule="auto"/>
        <w:ind w:firstLine="435"/>
        <w:rPr>
          <w:rFonts w:hint="eastAsia" w:ascii="仿宋_GB2312" w:hAnsi="仿宋" w:eastAsia="仿宋_GB2312" w:cs="仿宋"/>
          <w:color w:val="auto"/>
          <w:sz w:val="24"/>
          <w:szCs w:val="24"/>
          <w:highlight w:val="none"/>
        </w:rPr>
      </w:pPr>
      <w:bookmarkStart w:id="878" w:name="_Toc11922709"/>
      <w:bookmarkStart w:id="879" w:name="_Toc11922802"/>
      <w:r>
        <w:rPr>
          <w:rFonts w:hint="eastAsia" w:ascii="仿宋_GB2312" w:hAnsi="仿宋" w:eastAsia="仿宋_GB2312" w:cs="仿宋"/>
          <w:color w:val="auto"/>
          <w:sz w:val="24"/>
          <w:szCs w:val="24"/>
          <w:highlight w:val="none"/>
        </w:rPr>
        <w:t>31.6达不到以上31条要求，承包人有权依据合同扣除相应的履约保证金，在工程验收合格后</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月内退还分包人核减后的履约保证金（不计利息）。</w:t>
      </w:r>
      <w:bookmarkEnd w:id="878"/>
      <w:bookmarkEnd w:id="879"/>
    </w:p>
    <w:p>
      <w:pPr>
        <w:pStyle w:val="5"/>
        <w:pageBreakBefore w:val="0"/>
        <w:kinsoku/>
        <w:wordWrap/>
        <w:overflowPunct/>
        <w:topLinePunct w:val="0"/>
        <w:bidi w:val="0"/>
        <w:spacing w:before="0" w:after="0" w:line="360" w:lineRule="auto"/>
        <w:ind w:firstLine="566" w:firstLineChars="200"/>
        <w:jc w:val="center"/>
        <w:rPr>
          <w:rFonts w:hint="eastAsia" w:ascii="黑体" w:hAnsi="黑体" w:eastAsia="黑体" w:cs="黑体"/>
          <w:b w:val="0"/>
          <w:color w:val="auto"/>
          <w:sz w:val="28"/>
          <w:szCs w:val="28"/>
          <w:highlight w:val="none"/>
        </w:rPr>
      </w:pPr>
      <w:bookmarkStart w:id="880" w:name="_Toc13926"/>
      <w:bookmarkStart w:id="881" w:name="_Toc5298"/>
      <w:bookmarkStart w:id="882" w:name="_Toc3964_WPSOffice_Level2"/>
      <w:bookmarkStart w:id="883" w:name="_Toc19762"/>
      <w:bookmarkStart w:id="884" w:name="_Toc16900"/>
      <w:bookmarkStart w:id="885" w:name="_Toc17306"/>
      <w:bookmarkStart w:id="886" w:name="_Toc10811"/>
      <w:bookmarkStart w:id="887" w:name="_Toc30204"/>
      <w:bookmarkStart w:id="888" w:name="_Toc25090"/>
      <w:bookmarkStart w:id="889" w:name="_Toc30939"/>
      <w:bookmarkStart w:id="890" w:name="_Toc3744"/>
      <w:bookmarkStart w:id="891" w:name="_Toc11922710"/>
      <w:bookmarkStart w:id="892" w:name="_Toc4726"/>
      <w:bookmarkStart w:id="893" w:name="_Toc17214"/>
      <w:r>
        <w:rPr>
          <w:rFonts w:hint="eastAsia" w:ascii="黑体" w:hAnsi="黑体" w:eastAsia="黑体" w:cs="黑体"/>
          <w:b w:val="0"/>
          <w:color w:val="auto"/>
          <w:sz w:val="28"/>
          <w:szCs w:val="28"/>
          <w:highlight w:val="none"/>
        </w:rPr>
        <w:t>十、其他</w:t>
      </w:r>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pPr>
        <w:pageBreakBefore w:val="0"/>
        <w:kinsoku/>
        <w:wordWrap/>
        <w:overflowPunct/>
        <w:topLinePunct w:val="0"/>
        <w:bidi w:val="0"/>
        <w:spacing w:line="360" w:lineRule="auto"/>
        <w:ind w:firstLine="486" w:firstLineChars="200"/>
        <w:outlineLvl w:val="3"/>
        <w:rPr>
          <w:rFonts w:hint="eastAsia" w:ascii="仿宋_GB2312" w:hAnsi="仿宋" w:eastAsia="仿宋_GB2312" w:cs="仿宋"/>
          <w:b/>
          <w:color w:val="auto"/>
          <w:kern w:val="0"/>
          <w:sz w:val="24"/>
          <w:szCs w:val="24"/>
          <w:highlight w:val="none"/>
        </w:rPr>
      </w:pPr>
      <w:bookmarkStart w:id="894" w:name="_Toc11922711"/>
      <w:bookmarkStart w:id="895" w:name="_Toc11922804"/>
      <w:r>
        <w:rPr>
          <w:rFonts w:hint="eastAsia" w:ascii="仿宋_GB2312" w:hAnsi="仿宋" w:eastAsia="仿宋_GB2312" w:cs="仿宋"/>
          <w:b/>
          <w:color w:val="auto"/>
          <w:kern w:val="0"/>
          <w:sz w:val="24"/>
          <w:szCs w:val="24"/>
          <w:highlight w:val="none"/>
        </w:rPr>
        <w:t>32．材料设备供应</w:t>
      </w:r>
      <w:bookmarkEnd w:id="894"/>
      <w:bookmarkEnd w:id="895"/>
    </w:p>
    <w:p>
      <w:pPr>
        <w:pageBreakBefore w:val="0"/>
        <w:kinsoku/>
        <w:wordWrap/>
        <w:overflowPunct/>
        <w:topLinePunct w:val="0"/>
        <w:bidi w:val="0"/>
        <w:spacing w:line="360" w:lineRule="auto"/>
        <w:ind w:firstLine="486" w:firstLineChars="200"/>
        <w:rPr>
          <w:rFonts w:ascii="仿宋_GB2312" w:hAnsi="仿宋" w:eastAsia="仿宋_GB2312" w:cs="仿宋"/>
          <w:color w:val="auto"/>
          <w:sz w:val="24"/>
          <w:szCs w:val="24"/>
          <w:highlight w:val="none"/>
          <w:u w:val="single"/>
        </w:rPr>
      </w:pPr>
      <w:r>
        <w:rPr>
          <w:rFonts w:ascii="仿宋_GB2312" w:hAnsi="仿宋" w:eastAsia="仿宋_GB2312" w:cs="仿宋"/>
          <w:color w:val="auto"/>
          <w:sz w:val="24"/>
          <w:szCs w:val="24"/>
          <w:highlight w:val="none"/>
        </w:rPr>
        <w:t>32.</w:t>
      </w:r>
      <w:r>
        <w:rPr>
          <w:rFonts w:hint="eastAsia" w:ascii="仿宋_GB2312" w:hAnsi="仿宋" w:eastAsia="仿宋_GB2312" w:cs="仿宋"/>
          <w:color w:val="auto"/>
          <w:sz w:val="24"/>
          <w:szCs w:val="24"/>
          <w:highlight w:val="none"/>
        </w:rPr>
        <w:t>3</w:t>
      </w:r>
      <w:r>
        <w:rPr>
          <w:rFonts w:ascii="仿宋_GB2312" w:hAnsi="仿宋" w:eastAsia="仿宋_GB2312" w:cs="仿宋"/>
          <w:color w:val="auto"/>
          <w:sz w:val="24"/>
          <w:szCs w:val="24"/>
          <w:highlight w:val="none"/>
        </w:rPr>
        <w:t xml:space="preserve"> </w:t>
      </w:r>
      <w:r>
        <w:rPr>
          <w:rFonts w:hint="eastAsia" w:ascii="仿宋_GB2312" w:hAnsi="仿宋" w:eastAsia="仿宋_GB2312" w:cs="仿宋"/>
          <w:color w:val="auto"/>
          <w:sz w:val="24"/>
          <w:szCs w:val="24"/>
          <w:highlight w:val="none"/>
        </w:rPr>
        <w:t>由分包人采购材料设备的约定：</w:t>
      </w:r>
      <w:r>
        <w:rPr>
          <w:rFonts w:hint="eastAsia" w:ascii="仿宋_GB2312" w:hAnsi="仿宋" w:eastAsia="仿宋_GB2312" w:cs="仿宋"/>
          <w:color w:val="auto"/>
          <w:sz w:val="24"/>
          <w:szCs w:val="24"/>
          <w:highlight w:val="none"/>
          <w:u w:val="single"/>
        </w:rPr>
        <w:t>分包人对其采购的材料和设备负责。</w:t>
      </w:r>
    </w:p>
    <w:p>
      <w:pPr>
        <w:pageBreakBefore w:val="0"/>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3</w:t>
      </w:r>
      <w:r>
        <w:rPr>
          <w:rFonts w:hint="eastAsia" w:ascii="仿宋_GB2312" w:hAnsi="仿宋" w:eastAsia="仿宋_GB2312" w:cs="仿宋"/>
          <w:color w:val="auto"/>
          <w:sz w:val="24"/>
          <w:szCs w:val="24"/>
          <w:highlight w:val="none"/>
        </w:rPr>
        <w:t>2.4为确保工程质量和进度，控制投资，对与本工程质量密切相关的材料物资及设备需由承包人统一提供给分包人的，按招标文件“合同甲供料管理要求”及合同附件2“承包人提供材料设备一览表”执行。补充约定</w:t>
      </w:r>
      <w:r>
        <w:rPr>
          <w:rFonts w:ascii="仿宋_GB2312" w:hAnsi="仿宋" w:eastAsia="仿宋_GB2312" w:cs="仿宋"/>
          <w:color w:val="auto"/>
          <w:kern w:val="0"/>
          <w:sz w:val="24"/>
          <w:szCs w:val="24"/>
          <w:highlight w:val="none"/>
          <w:u w:val="single"/>
        </w:rPr>
        <w:tab/>
      </w:r>
      <w:r>
        <w:rPr>
          <w:rFonts w:ascii="仿宋_GB2312" w:hAnsi="仿宋" w:eastAsia="仿宋_GB2312" w:cs="仿宋"/>
          <w:color w:val="auto"/>
          <w:kern w:val="0"/>
          <w:sz w:val="24"/>
          <w:szCs w:val="24"/>
          <w:highlight w:val="none"/>
          <w:u w:val="single"/>
        </w:rPr>
        <w:tab/>
      </w:r>
      <w:r>
        <w:rPr>
          <w:rFonts w:ascii="仿宋_GB2312" w:hAnsi="仿宋" w:eastAsia="仿宋_GB2312" w:cs="仿宋"/>
          <w:color w:val="auto"/>
          <w:kern w:val="0"/>
          <w:sz w:val="24"/>
          <w:szCs w:val="24"/>
          <w:highlight w:val="none"/>
          <w:u w:val="single"/>
        </w:rPr>
        <w:tab/>
      </w:r>
      <w:r>
        <w:rPr>
          <w:rFonts w:ascii="仿宋_GB2312" w:hAnsi="仿宋" w:eastAsia="仿宋_GB2312" w:cs="仿宋"/>
          <w:color w:val="auto"/>
          <w:kern w:val="0"/>
          <w:sz w:val="24"/>
          <w:szCs w:val="24"/>
          <w:highlight w:val="none"/>
          <w:u w:val="single"/>
        </w:rPr>
        <w:tab/>
      </w:r>
      <w:r>
        <w:rPr>
          <w:rFonts w:hint="eastAsia" w:ascii="仿宋_GB2312" w:hAnsi="仿宋" w:eastAsia="仿宋_GB2312" w:cs="仿宋"/>
          <w:color w:val="auto"/>
          <w:kern w:val="0"/>
          <w:sz w:val="24"/>
          <w:szCs w:val="24"/>
          <w:highlight w:val="none"/>
          <w:u w:val="single"/>
          <w:lang w:val="en-US" w:eastAsia="zh-CN"/>
        </w:rPr>
        <w:t>/</w:t>
      </w:r>
      <w:r>
        <w:rPr>
          <w:rFonts w:ascii="仿宋_GB2312" w:hAnsi="仿宋" w:eastAsia="仿宋_GB2312" w:cs="仿宋"/>
          <w:color w:val="auto"/>
          <w:kern w:val="0"/>
          <w:sz w:val="24"/>
          <w:szCs w:val="24"/>
          <w:highlight w:val="none"/>
          <w:u w:val="single"/>
        </w:rPr>
        <w:tab/>
      </w:r>
      <w:r>
        <w:rPr>
          <w:rFonts w:ascii="仿宋_GB2312" w:hAnsi="仿宋" w:eastAsia="仿宋_GB2312" w:cs="仿宋"/>
          <w:color w:val="auto"/>
          <w:kern w:val="0"/>
          <w:sz w:val="24"/>
          <w:szCs w:val="24"/>
          <w:highlight w:val="none"/>
          <w:u w:val="single"/>
        </w:rPr>
        <w:tab/>
      </w:r>
      <w:r>
        <w:rPr>
          <w:rFonts w:ascii="仿宋_GB2312" w:hAnsi="仿宋" w:eastAsia="仿宋_GB2312" w:cs="仿宋"/>
          <w:color w:val="auto"/>
          <w:kern w:val="0"/>
          <w:sz w:val="24"/>
          <w:szCs w:val="24"/>
          <w:highlight w:val="none"/>
          <w:u w:val="single"/>
        </w:rPr>
        <w:tab/>
      </w:r>
      <w:r>
        <w:rPr>
          <w:rFonts w:ascii="仿宋_GB2312" w:hAnsi="仿宋" w:eastAsia="仿宋_GB2312" w:cs="仿宋"/>
          <w:color w:val="auto"/>
          <w:kern w:val="0"/>
          <w:sz w:val="24"/>
          <w:szCs w:val="24"/>
          <w:highlight w:val="none"/>
          <w:u w:val="single"/>
        </w:rPr>
        <w:tab/>
      </w:r>
      <w:r>
        <w:rPr>
          <w:rFonts w:hint="eastAsia" w:ascii="仿宋_GB2312" w:hAnsi="仿宋" w:eastAsia="仿宋_GB2312" w:cs="仿宋"/>
          <w:color w:val="auto"/>
          <w:kern w:val="0"/>
          <w:sz w:val="24"/>
          <w:szCs w:val="24"/>
          <w:highlight w:val="none"/>
          <w:u w:val="none"/>
        </w:rPr>
        <w:t>。</w:t>
      </w:r>
    </w:p>
    <w:p>
      <w:pPr>
        <w:pStyle w:val="9"/>
        <w:pageBreakBefore w:val="0"/>
        <w:kinsoku/>
        <w:wordWrap/>
        <w:overflowPunct/>
        <w:topLinePunct w:val="0"/>
        <w:bidi w:val="0"/>
        <w:spacing w:line="360" w:lineRule="auto"/>
        <w:ind w:firstLine="486" w:firstLineChars="200"/>
        <w:rPr>
          <w:rFonts w:hint="eastAsia" w:ascii="仿宋_GB2312" w:hAnsi="仿宋" w:eastAsia="仿宋_GB2312" w:cs="仿宋"/>
          <w:color w:val="auto"/>
          <w:kern w:val="0"/>
          <w:sz w:val="24"/>
          <w:highlight w:val="none"/>
        </w:rPr>
      </w:pPr>
      <w:r>
        <w:rPr>
          <w:rFonts w:ascii="仿宋_GB2312" w:hAnsi="仿宋" w:eastAsia="仿宋_GB2312" w:cs="仿宋"/>
          <w:color w:val="auto"/>
          <w:kern w:val="0"/>
          <w:sz w:val="24"/>
          <w:highlight w:val="none"/>
        </w:rPr>
        <w:t>32.</w:t>
      </w:r>
      <w:r>
        <w:rPr>
          <w:rFonts w:hint="eastAsia" w:ascii="仿宋_GB2312" w:hAnsi="仿宋" w:eastAsia="仿宋_GB2312" w:cs="仿宋"/>
          <w:color w:val="auto"/>
          <w:kern w:val="0"/>
          <w:sz w:val="24"/>
          <w:highlight w:val="none"/>
        </w:rPr>
        <w:t>5分包人自购材料、设备进场时间：以承包人现场下达的书面时间为准，延期进场承包人可根据实际情况向分包人收取</w:t>
      </w:r>
      <w:r>
        <w:rPr>
          <w:rFonts w:hint="eastAsia" w:ascii="仿宋_GB2312" w:hAnsi="仿宋" w:eastAsia="仿宋_GB2312" w:cs="仿宋"/>
          <w:color w:val="auto"/>
          <w:kern w:val="0"/>
          <w:sz w:val="24"/>
          <w:highlight w:val="none"/>
          <w:u w:val="single"/>
          <w:lang w:val="en-US" w:eastAsia="zh-CN"/>
        </w:rPr>
        <w:t>500~10000</w:t>
      </w:r>
      <w:r>
        <w:rPr>
          <w:rFonts w:hint="eastAsia" w:ascii="仿宋_GB2312" w:hAnsi="仿宋" w:eastAsia="仿宋_GB2312" w:cs="仿宋"/>
          <w:color w:val="auto"/>
          <w:kern w:val="0"/>
          <w:sz w:val="24"/>
          <w:highlight w:val="none"/>
        </w:rPr>
        <w:t>的违约金。</w:t>
      </w:r>
    </w:p>
    <w:p>
      <w:pPr>
        <w:pageBreakBefore w:val="0"/>
        <w:kinsoku/>
        <w:wordWrap/>
        <w:overflowPunct/>
        <w:topLinePunct w:val="0"/>
        <w:bidi w:val="0"/>
        <w:spacing w:line="360" w:lineRule="auto"/>
        <w:ind w:firstLine="486" w:firstLineChars="200"/>
        <w:outlineLvl w:val="3"/>
        <w:rPr>
          <w:rFonts w:hint="eastAsia" w:ascii="仿宋_GB2312" w:hAnsi="仿宋" w:eastAsia="仿宋_GB2312" w:cs="仿宋"/>
          <w:b/>
          <w:color w:val="auto"/>
          <w:kern w:val="0"/>
          <w:sz w:val="24"/>
          <w:szCs w:val="24"/>
          <w:highlight w:val="none"/>
        </w:rPr>
      </w:pPr>
      <w:bookmarkStart w:id="896" w:name="_Toc11922805"/>
      <w:bookmarkStart w:id="897" w:name="_Toc11922712"/>
      <w:r>
        <w:rPr>
          <w:rFonts w:hint="eastAsia" w:ascii="仿宋_GB2312" w:hAnsi="仿宋" w:eastAsia="仿宋_GB2312" w:cs="仿宋"/>
          <w:b/>
          <w:color w:val="auto"/>
          <w:kern w:val="0"/>
          <w:sz w:val="24"/>
          <w:szCs w:val="24"/>
          <w:highlight w:val="none"/>
        </w:rPr>
        <w:t>37．合同份数</w:t>
      </w:r>
      <w:bookmarkEnd w:id="896"/>
      <w:bookmarkEnd w:id="897"/>
    </w:p>
    <w:p>
      <w:pPr>
        <w:pageBreakBefore w:val="0"/>
        <w:kinsoku/>
        <w:wordWrap/>
        <w:overflowPunct/>
        <w:topLinePunct w:val="0"/>
        <w:bidi w:val="0"/>
        <w:spacing w:line="360" w:lineRule="auto"/>
        <w:ind w:left="1457" w:leftChars="228" w:hanging="972" w:hangingChars="400"/>
        <w:rPr>
          <w:rFonts w:hint="eastAsia" w:ascii="仿宋_GB2312" w:hAnsi="仿宋_GB2312" w:eastAsia="仿宋_GB2312" w:cs="仿宋_GB2312"/>
          <w:color w:val="auto"/>
          <w:sz w:val="24"/>
          <w:szCs w:val="24"/>
          <w:highlight w:val="none"/>
        </w:rPr>
      </w:pPr>
      <w:r>
        <w:rPr>
          <w:rFonts w:ascii="仿宋_GB2312" w:hAnsi="仿宋" w:eastAsia="仿宋_GB2312" w:cs="仿宋"/>
          <w:color w:val="auto"/>
          <w:sz w:val="24"/>
          <w:szCs w:val="24"/>
          <w:highlight w:val="none"/>
        </w:rPr>
        <w:t>37.</w:t>
      </w:r>
      <w:r>
        <w:rPr>
          <w:rFonts w:hint="eastAsia" w:ascii="仿宋_GB2312" w:hAnsi="仿宋" w:eastAsia="仿宋_GB2312" w:cs="仿宋"/>
          <w:color w:val="auto"/>
          <w:sz w:val="24"/>
          <w:szCs w:val="24"/>
          <w:highlight w:val="none"/>
        </w:rPr>
        <w:t>2</w:t>
      </w:r>
      <w:r>
        <w:rPr>
          <w:rFonts w:ascii="仿宋_GB2312" w:hAnsi="仿宋" w:eastAsia="仿宋_GB2312" w:cs="仿宋"/>
          <w:color w:val="auto"/>
          <w:sz w:val="24"/>
          <w:szCs w:val="24"/>
          <w:highlight w:val="none"/>
        </w:rPr>
        <w:t xml:space="preserve"> </w:t>
      </w:r>
      <w:r>
        <w:rPr>
          <w:rFonts w:hint="eastAsia" w:ascii="仿宋_GB2312" w:hAnsi="仿宋_GB2312" w:eastAsia="仿宋_GB2312" w:cs="仿宋_GB2312"/>
          <w:color w:val="auto"/>
          <w:sz w:val="24"/>
          <w:szCs w:val="24"/>
          <w:highlight w:val="none"/>
        </w:rPr>
        <w:t>本合同正本</w:t>
      </w:r>
      <w:r>
        <w:rPr>
          <w:rFonts w:hint="eastAsia" w:ascii="仿宋_GB2312" w:hAnsi="仿宋_GB2312" w:eastAsia="仿宋_GB2312" w:cs="仿宋_GB2312"/>
          <w:color w:val="auto"/>
          <w:sz w:val="24"/>
          <w:szCs w:val="24"/>
          <w:highlight w:val="none"/>
          <w:lang w:val="en-US" w:eastAsia="zh-CN"/>
        </w:rPr>
        <w:t>贰</w:t>
      </w:r>
      <w:r>
        <w:rPr>
          <w:rFonts w:hint="eastAsia" w:ascii="仿宋_GB2312" w:hAnsi="仿宋_GB2312" w:eastAsia="仿宋_GB2312" w:cs="仿宋_GB2312"/>
          <w:color w:val="auto"/>
          <w:sz w:val="24"/>
          <w:szCs w:val="24"/>
          <w:highlight w:val="none"/>
        </w:rPr>
        <w:t>份，具有同等效力，甲乙双方各执</w:t>
      </w:r>
      <w:r>
        <w:rPr>
          <w:rFonts w:hint="eastAsia" w:ascii="仿宋_GB2312" w:hAnsi="仿宋_GB2312" w:eastAsia="仿宋_GB2312" w:cs="仿宋_GB2312"/>
          <w:color w:val="auto"/>
          <w:sz w:val="24"/>
          <w:szCs w:val="24"/>
          <w:highlight w:val="none"/>
          <w:lang w:val="en-US" w:eastAsia="zh-CN"/>
        </w:rPr>
        <w:t>壹</w:t>
      </w:r>
      <w:r>
        <w:rPr>
          <w:rFonts w:hint="eastAsia" w:ascii="仿宋_GB2312" w:hAnsi="仿宋_GB2312" w:eastAsia="仿宋_GB2312" w:cs="仿宋_GB2312"/>
          <w:color w:val="auto"/>
          <w:sz w:val="24"/>
          <w:szCs w:val="24"/>
          <w:highlight w:val="none"/>
        </w:rPr>
        <w:t>份；</w:t>
      </w:r>
    </w:p>
    <w:p>
      <w:pPr>
        <w:pageBreakBefore w:val="0"/>
        <w:kinsoku/>
        <w:wordWrap/>
        <w:overflowPunct/>
        <w:topLinePunct w:val="0"/>
        <w:bidi w:val="0"/>
        <w:spacing w:line="360" w:lineRule="auto"/>
        <w:ind w:firstLine="1215" w:firstLineChars="5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szCs w:val="24"/>
          <w:highlight w:val="none"/>
        </w:rPr>
        <w:t>本合同副本</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肆 </w:t>
      </w:r>
      <w:r>
        <w:rPr>
          <w:rFonts w:hint="eastAsia" w:ascii="仿宋_GB2312" w:hAnsi="仿宋_GB2312" w:eastAsia="仿宋_GB2312" w:cs="仿宋_GB2312"/>
          <w:color w:val="auto"/>
          <w:sz w:val="24"/>
          <w:szCs w:val="24"/>
          <w:highlight w:val="none"/>
        </w:rPr>
        <w:t>份，甲方执</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叁</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份，乙方执</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壹</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份。</w:t>
      </w:r>
    </w:p>
    <w:p>
      <w:pPr>
        <w:pageBreakBefore w:val="0"/>
        <w:kinsoku/>
        <w:wordWrap/>
        <w:overflowPunct/>
        <w:topLinePunct w:val="0"/>
        <w:bidi w:val="0"/>
        <w:spacing w:line="360" w:lineRule="auto"/>
        <w:ind w:firstLine="486" w:firstLineChars="200"/>
        <w:outlineLvl w:val="3"/>
        <w:rPr>
          <w:rFonts w:hint="eastAsia" w:ascii="仿宋_GB2312" w:hAnsi="仿宋_GB2312" w:eastAsia="仿宋_GB2312" w:cs="仿宋_GB2312"/>
          <w:b/>
          <w:color w:val="auto"/>
          <w:kern w:val="0"/>
          <w:sz w:val="24"/>
          <w:szCs w:val="24"/>
          <w:highlight w:val="none"/>
        </w:rPr>
      </w:pPr>
      <w:bookmarkStart w:id="898" w:name="_Toc11922713"/>
      <w:bookmarkStart w:id="899" w:name="_Toc11922806"/>
      <w:r>
        <w:rPr>
          <w:rFonts w:hint="eastAsia" w:ascii="仿宋_GB2312" w:hAnsi="仿宋_GB2312" w:eastAsia="仿宋_GB2312" w:cs="仿宋_GB2312"/>
          <w:b/>
          <w:color w:val="auto"/>
          <w:kern w:val="0"/>
          <w:sz w:val="24"/>
          <w:szCs w:val="24"/>
          <w:highlight w:val="none"/>
          <w:lang w:val="en-US" w:eastAsia="zh-CN"/>
        </w:rPr>
        <w:t>38</w:t>
      </w:r>
      <w:r>
        <w:rPr>
          <w:rFonts w:hint="eastAsia" w:ascii="仿宋_GB2312" w:hAnsi="仿宋_GB2312" w:eastAsia="仿宋_GB2312" w:cs="仿宋_GB2312"/>
          <w:b/>
          <w:color w:val="auto"/>
          <w:kern w:val="0"/>
          <w:sz w:val="24"/>
          <w:szCs w:val="24"/>
          <w:highlight w:val="none"/>
        </w:rPr>
        <w:t>．补充条款</w:t>
      </w:r>
      <w:bookmarkEnd w:id="898"/>
      <w:bookmarkEnd w:id="899"/>
    </w:p>
    <w:p>
      <w:pPr>
        <w:pageBreakBefore w:val="0"/>
        <w:kinsoku/>
        <w:wordWrap/>
        <w:overflowPunct/>
        <w:topLinePunct w:val="0"/>
        <w:bidi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38</w:t>
      </w:r>
      <w:r>
        <w:rPr>
          <w:rFonts w:hint="eastAsia" w:ascii="仿宋_GB2312" w:hAnsi="仿宋_GB2312" w:eastAsia="仿宋_GB2312" w:cs="仿宋_GB2312"/>
          <w:color w:val="auto"/>
          <w:sz w:val="24"/>
          <w:szCs w:val="24"/>
          <w:highlight w:val="none"/>
        </w:rPr>
        <w:t>.1分包</w:t>
      </w:r>
      <w:r>
        <w:rPr>
          <w:rFonts w:hint="eastAsia" w:ascii="仿宋_GB2312" w:hAnsi="仿宋_GB2312" w:eastAsia="仿宋_GB2312" w:cs="仿宋_GB2312"/>
          <w:color w:val="auto"/>
          <w:sz w:val="24"/>
          <w:szCs w:val="24"/>
          <w:highlight w:val="none"/>
          <w:lang w:val="en-US" w:eastAsia="zh-CN"/>
        </w:rPr>
        <w:t>人</w:t>
      </w:r>
      <w:r>
        <w:rPr>
          <w:rFonts w:hint="eastAsia" w:ascii="仿宋_GB2312" w:hAnsi="仿宋_GB2312" w:eastAsia="仿宋_GB2312" w:cs="仿宋_GB2312"/>
          <w:color w:val="auto"/>
          <w:sz w:val="24"/>
          <w:szCs w:val="24"/>
          <w:highlight w:val="none"/>
        </w:rPr>
        <w:t>应承担该项目发生的所有税费（含税收政策变化导致税费增加部分）。</w:t>
      </w:r>
    </w:p>
    <w:p>
      <w:pPr>
        <w:pageBreakBefore w:val="0"/>
        <w:kinsoku/>
        <w:wordWrap/>
        <w:overflowPunct/>
        <w:topLinePunct w:val="0"/>
        <w:bidi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（1）项目计税方式:一般税项目</w:t>
      </w:r>
      <w:r>
        <w:rPr>
          <w:rFonts w:hint="eastAsia" w:ascii="仿宋_GB2312" w:hAnsi="仿宋_GB2312" w:eastAsia="仿宋_GB2312" w:cs="仿宋_GB2312"/>
          <w:color w:val="auto"/>
          <w:sz w:val="24"/>
          <w:szCs w:val="24"/>
          <w:highlight w:val="none"/>
        </w:rPr>
        <w:sym w:font="Wingdings" w:char="00FE"/>
      </w:r>
      <w:r>
        <w:rPr>
          <w:rFonts w:hint="eastAsia" w:ascii="仿宋_GB2312" w:hAnsi="仿宋_GB2312" w:eastAsia="仿宋_GB2312" w:cs="仿宋_GB2312"/>
          <w:color w:val="auto"/>
          <w:sz w:val="24"/>
          <w:szCs w:val="24"/>
          <w:highlight w:val="none"/>
        </w:rPr>
        <w:t>；简易计税项目</w:t>
      </w:r>
      <w:r>
        <w:rPr>
          <w:rFonts w:hint="eastAsia" w:ascii="仿宋_GB2312" w:hAnsi="仿宋_GB2312" w:eastAsia="仿宋_GB2312" w:cs="仿宋_GB2312"/>
          <w:color w:val="auto"/>
          <w:sz w:val="24"/>
          <w:szCs w:val="24"/>
          <w:highlight w:val="none"/>
        </w:rPr>
        <w:sym w:font="Wingdings" w:char="00A8"/>
      </w:r>
    </w:p>
    <w:p>
      <w:pPr>
        <w:pageBreakBefore w:val="0"/>
        <w:kinsoku/>
        <w:wordWrap/>
        <w:overflowPunct/>
        <w:topLinePunct w:val="0"/>
        <w:bidi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（2）分包</w:t>
      </w:r>
      <w:r>
        <w:rPr>
          <w:rFonts w:hint="eastAsia" w:ascii="仿宋_GB2312" w:hAnsi="仿宋_GB2312" w:eastAsia="仿宋_GB2312" w:cs="仿宋_GB2312"/>
          <w:color w:val="auto"/>
          <w:sz w:val="24"/>
          <w:szCs w:val="24"/>
          <w:highlight w:val="none"/>
          <w:lang w:val="en-US" w:eastAsia="zh-CN"/>
        </w:rPr>
        <w:t>人</w:t>
      </w:r>
      <w:r>
        <w:rPr>
          <w:rFonts w:hint="eastAsia" w:ascii="仿宋_GB2312" w:hAnsi="仿宋_GB2312" w:eastAsia="仿宋_GB2312" w:cs="仿宋_GB2312"/>
          <w:color w:val="auto"/>
          <w:sz w:val="24"/>
          <w:szCs w:val="24"/>
          <w:highlight w:val="none"/>
        </w:rPr>
        <w:t>纳税人类型：一般纳税人</w:t>
      </w:r>
      <w:r>
        <w:rPr>
          <w:rFonts w:hint="eastAsia" w:ascii="仿宋_GB2312" w:hAnsi="仿宋_GB2312" w:eastAsia="仿宋_GB2312" w:cs="仿宋_GB2312"/>
          <w:color w:val="auto"/>
          <w:sz w:val="24"/>
          <w:szCs w:val="24"/>
          <w:highlight w:val="none"/>
        </w:rPr>
        <w:sym w:font="Wingdings" w:char="00FE"/>
      </w:r>
      <w:r>
        <w:rPr>
          <w:rFonts w:hint="eastAsia" w:ascii="仿宋_GB2312" w:hAnsi="仿宋_GB2312" w:eastAsia="仿宋_GB2312" w:cs="仿宋_GB2312"/>
          <w:color w:val="auto"/>
          <w:sz w:val="24"/>
          <w:szCs w:val="24"/>
          <w:highlight w:val="none"/>
        </w:rPr>
        <w:t>小规模纳税人</w:t>
      </w:r>
      <w:r>
        <w:rPr>
          <w:rFonts w:hint="eastAsia" w:ascii="仿宋_GB2312" w:hAnsi="仿宋_GB2312" w:eastAsia="仿宋_GB2312" w:cs="仿宋_GB2312"/>
          <w:color w:val="auto"/>
          <w:sz w:val="24"/>
          <w:szCs w:val="24"/>
          <w:highlight w:val="none"/>
        </w:rPr>
        <w:sym w:font="Wingdings" w:char="00A8"/>
      </w:r>
      <w:r>
        <w:rPr>
          <w:rFonts w:hint="eastAsia" w:ascii="仿宋_GB2312" w:hAnsi="仿宋_GB2312" w:eastAsia="仿宋_GB2312" w:cs="仿宋_GB2312"/>
          <w:color w:val="auto"/>
          <w:sz w:val="24"/>
          <w:szCs w:val="24"/>
          <w:highlight w:val="none"/>
        </w:rPr>
        <w:t xml:space="preserve"> ;</w:t>
      </w:r>
    </w:p>
    <w:p>
      <w:pPr>
        <w:pageBreakBefore w:val="0"/>
        <w:kinsoku/>
        <w:wordWrap/>
        <w:overflowPunct/>
        <w:topLinePunct w:val="0"/>
        <w:bidi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（3）分包</w:t>
      </w:r>
      <w:r>
        <w:rPr>
          <w:rFonts w:hint="eastAsia" w:ascii="仿宋_GB2312" w:hAnsi="仿宋_GB2312" w:eastAsia="仿宋_GB2312" w:cs="仿宋_GB2312"/>
          <w:color w:val="auto"/>
          <w:sz w:val="24"/>
          <w:szCs w:val="24"/>
          <w:highlight w:val="none"/>
          <w:lang w:val="en-US" w:eastAsia="zh-CN"/>
        </w:rPr>
        <w:t>人</w:t>
      </w:r>
      <w:r>
        <w:rPr>
          <w:rFonts w:hint="eastAsia" w:ascii="仿宋_GB2312" w:hAnsi="仿宋_GB2312" w:eastAsia="仿宋_GB2312" w:cs="仿宋_GB2312"/>
          <w:color w:val="auto"/>
          <w:sz w:val="24"/>
          <w:szCs w:val="24"/>
          <w:highlight w:val="none"/>
        </w:rPr>
        <w:t>发票开具方式：税局代开</w:t>
      </w:r>
      <w:r>
        <w:rPr>
          <w:rFonts w:hint="eastAsia" w:ascii="仿宋_GB2312" w:hAnsi="仿宋_GB2312" w:eastAsia="仿宋_GB2312" w:cs="仿宋_GB2312"/>
          <w:color w:val="auto"/>
          <w:sz w:val="24"/>
          <w:szCs w:val="24"/>
          <w:highlight w:val="none"/>
        </w:rPr>
        <w:sym w:font="Wingdings" w:char="F0A8"/>
      </w:r>
      <w:r>
        <w:rPr>
          <w:rFonts w:hint="eastAsia" w:ascii="仿宋_GB2312" w:hAnsi="仿宋_GB2312" w:eastAsia="仿宋_GB2312" w:cs="仿宋_GB2312"/>
          <w:color w:val="auto"/>
          <w:sz w:val="24"/>
          <w:szCs w:val="24"/>
          <w:highlight w:val="none"/>
        </w:rPr>
        <w:t>自行开具</w:t>
      </w:r>
      <w:r>
        <w:rPr>
          <w:rFonts w:hint="eastAsia" w:ascii="仿宋_GB2312" w:hAnsi="仿宋_GB2312" w:eastAsia="仿宋_GB2312" w:cs="仿宋_GB2312"/>
          <w:color w:val="auto"/>
          <w:sz w:val="24"/>
          <w:szCs w:val="24"/>
          <w:highlight w:val="none"/>
        </w:rPr>
        <w:sym w:font="Wingdings" w:char="00FE"/>
      </w:r>
      <w:r>
        <w:rPr>
          <w:rFonts w:hint="eastAsia" w:ascii="仿宋_GB2312" w:hAnsi="仿宋_GB2312" w:eastAsia="仿宋_GB2312" w:cs="仿宋_GB2312"/>
          <w:color w:val="auto"/>
          <w:sz w:val="24"/>
          <w:szCs w:val="24"/>
          <w:highlight w:val="none"/>
        </w:rPr>
        <w:t>；一票制</w:t>
      </w:r>
      <w:r>
        <w:rPr>
          <w:rFonts w:hint="eastAsia" w:ascii="仿宋_GB2312" w:hAnsi="仿宋_GB2312" w:eastAsia="仿宋_GB2312" w:cs="仿宋_GB2312"/>
          <w:color w:val="auto"/>
          <w:sz w:val="24"/>
          <w:szCs w:val="24"/>
          <w:highlight w:val="none"/>
        </w:rPr>
        <w:sym w:font="Wingdings" w:char="F0A8"/>
      </w:r>
      <w:r>
        <w:rPr>
          <w:rFonts w:hint="eastAsia" w:ascii="仿宋_GB2312" w:hAnsi="仿宋_GB2312" w:eastAsia="仿宋_GB2312" w:cs="仿宋_GB2312"/>
          <w:color w:val="auto"/>
          <w:sz w:val="24"/>
          <w:szCs w:val="24"/>
          <w:highlight w:val="none"/>
        </w:rPr>
        <w:t>两票制</w:t>
      </w:r>
      <w:r>
        <w:rPr>
          <w:rFonts w:hint="eastAsia" w:ascii="仿宋_GB2312" w:hAnsi="仿宋_GB2312" w:eastAsia="仿宋_GB2312" w:cs="仿宋_GB2312"/>
          <w:color w:val="auto"/>
          <w:sz w:val="24"/>
          <w:szCs w:val="24"/>
          <w:highlight w:val="none"/>
        </w:rPr>
        <w:sym w:font="Wingdings" w:char="F0A8"/>
      </w:r>
      <w:r>
        <w:rPr>
          <w:rFonts w:hint="eastAsia" w:ascii="仿宋_GB2312" w:hAnsi="仿宋_GB2312" w:eastAsia="仿宋_GB2312" w:cs="仿宋_GB2312"/>
          <w:color w:val="auto"/>
          <w:sz w:val="24"/>
          <w:szCs w:val="24"/>
          <w:highlight w:val="none"/>
        </w:rPr>
        <w:t xml:space="preserve">; </w:t>
      </w:r>
    </w:p>
    <w:p>
      <w:pPr>
        <w:pageBreakBefore w:val="0"/>
        <w:kinsoku/>
        <w:wordWrap/>
        <w:overflowPunct/>
        <w:topLinePunct w:val="0"/>
        <w:bidi w:val="0"/>
        <w:spacing w:line="360" w:lineRule="auto"/>
        <w:ind w:firstLine="486" w:firstLineChars="2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（4）分包</w:t>
      </w:r>
      <w:r>
        <w:rPr>
          <w:rFonts w:hint="eastAsia" w:ascii="仿宋_GB2312" w:hAnsi="仿宋_GB2312" w:eastAsia="仿宋_GB2312" w:cs="仿宋_GB2312"/>
          <w:color w:val="auto"/>
          <w:sz w:val="24"/>
          <w:szCs w:val="24"/>
          <w:highlight w:val="none"/>
          <w:lang w:val="en-US" w:eastAsia="zh-CN"/>
        </w:rPr>
        <w:t>人</w:t>
      </w:r>
      <w:r>
        <w:rPr>
          <w:rFonts w:hint="eastAsia" w:ascii="仿宋_GB2312" w:hAnsi="仿宋_GB2312" w:eastAsia="仿宋_GB2312" w:cs="仿宋_GB2312"/>
          <w:color w:val="auto"/>
          <w:sz w:val="24"/>
          <w:szCs w:val="24"/>
          <w:highlight w:val="none"/>
        </w:rPr>
        <w:t>提供的发票“货物和应税劳务服务名称”为：</w:t>
      </w:r>
      <w:r>
        <w:rPr>
          <w:rFonts w:hint="eastAsia" w:ascii="仿宋_GB2312" w:hAnsi="仿宋_GB2312" w:eastAsia="仿宋_GB2312" w:cs="仿宋_GB2312"/>
          <w:color w:val="auto"/>
          <w:sz w:val="24"/>
          <w:szCs w:val="24"/>
          <w:highlight w:val="none"/>
          <w:u w:val="single"/>
        </w:rPr>
        <w:t>（根据《商品和服务税收分类编码表》确定）</w:t>
      </w:r>
    </w:p>
    <w:p>
      <w:pPr>
        <w:pStyle w:val="9"/>
        <w:pageBreakBefore w:val="0"/>
        <w:kinsoku/>
        <w:wordWrap/>
        <w:overflowPunct/>
        <w:topLinePunct w:val="0"/>
        <w:bidi w:val="0"/>
        <w:spacing w:line="360" w:lineRule="auto"/>
        <w:ind w:firstLine="243"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（5）分包</w:t>
      </w:r>
      <w:r>
        <w:rPr>
          <w:rFonts w:hint="eastAsia" w:ascii="仿宋_GB2312" w:hAnsi="仿宋_GB2312" w:eastAsia="仿宋_GB2312" w:cs="仿宋_GB2312"/>
          <w:color w:val="auto"/>
          <w:sz w:val="24"/>
          <w:szCs w:val="24"/>
          <w:highlight w:val="none"/>
          <w:lang w:val="en-US" w:eastAsia="zh-CN"/>
        </w:rPr>
        <w:t>人</w:t>
      </w:r>
      <w:r>
        <w:rPr>
          <w:rFonts w:hint="eastAsia" w:ascii="仿宋_GB2312" w:hAnsi="仿宋_GB2312" w:eastAsia="仿宋_GB2312" w:cs="仿宋_GB2312"/>
          <w:color w:val="auto"/>
          <w:sz w:val="24"/>
          <w:szCs w:val="24"/>
          <w:highlight w:val="none"/>
        </w:rPr>
        <w:t>提供的票据类型：</w:t>
      </w:r>
      <w:r>
        <w:rPr>
          <w:rFonts w:hint="eastAsia" w:ascii="仿宋_GB2312" w:hAnsi="仿宋_GB2312" w:eastAsia="仿宋_GB2312" w:cs="仿宋_GB2312"/>
          <w:color w:val="auto"/>
          <w:sz w:val="24"/>
          <w:szCs w:val="24"/>
          <w:highlight w:val="none"/>
          <w:lang w:val="en-US" w:eastAsia="zh-CN"/>
        </w:rPr>
        <w:t>税率</w:t>
      </w:r>
      <w:r>
        <w:rPr>
          <w:rFonts w:hint="eastAsia" w:ascii="仿宋_GB2312" w:hAnsi="仿宋_GB2312" w:eastAsia="仿宋_GB2312" w:cs="仿宋_GB2312"/>
          <w:color w:val="auto"/>
          <w:sz w:val="24"/>
          <w:szCs w:val="24"/>
          <w:highlight w:val="none"/>
          <w:u w:val="single"/>
          <w:lang w:val="en-US" w:eastAsia="zh-CN"/>
        </w:rPr>
        <w:t xml:space="preserve">  9   </w:t>
      </w:r>
      <w:r>
        <w:rPr>
          <w:rFonts w:hint="eastAsia" w:ascii="仿宋_GB2312" w:hAnsi="仿宋_GB2312" w:eastAsia="仿宋_GB2312" w:cs="仿宋_GB2312"/>
          <w:color w:val="auto"/>
          <w:sz w:val="24"/>
          <w:szCs w:val="24"/>
          <w:highlight w:val="none"/>
          <w:lang w:val="en-US" w:eastAsia="zh-CN"/>
        </w:rPr>
        <w:t xml:space="preserve"> %</w:t>
      </w:r>
    </w:p>
    <w:p>
      <w:pPr>
        <w:pageBreakBefore w:val="0"/>
        <w:kinsoku/>
        <w:wordWrap/>
        <w:overflowPunct/>
        <w:topLinePunct w:val="0"/>
        <w:bidi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a、增值税专用发票</w:t>
      </w:r>
      <w:r>
        <w:rPr>
          <w:rFonts w:hint="eastAsia" w:ascii="仿宋_GB2312" w:hAnsi="仿宋_GB2312" w:eastAsia="仿宋_GB2312" w:cs="仿宋_GB2312"/>
          <w:color w:val="auto"/>
          <w:sz w:val="24"/>
          <w:szCs w:val="24"/>
          <w:highlight w:val="none"/>
        </w:rPr>
        <w:sym w:font="Wingdings" w:char="00FE"/>
      </w:r>
    </w:p>
    <w:p>
      <w:pPr>
        <w:pageBreakBefore w:val="0"/>
        <w:kinsoku/>
        <w:wordWrap/>
        <w:overflowPunct/>
        <w:topLinePunct w:val="0"/>
        <w:bidi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b、增值税普通发票</w:t>
      </w:r>
      <w:r>
        <w:rPr>
          <w:rFonts w:hint="eastAsia" w:ascii="仿宋_GB2312" w:hAnsi="仿宋_GB2312" w:eastAsia="仿宋_GB2312" w:cs="仿宋_GB2312"/>
          <w:color w:val="auto"/>
          <w:sz w:val="24"/>
          <w:szCs w:val="24"/>
          <w:highlight w:val="none"/>
        </w:rPr>
        <w:sym w:font="Wingdings" w:char="F0A8"/>
      </w:r>
      <w:r>
        <w:rPr>
          <w:rFonts w:hint="eastAsia" w:ascii="仿宋_GB2312" w:hAnsi="仿宋_GB2312" w:eastAsia="仿宋_GB2312" w:cs="仿宋_GB2312"/>
          <w:color w:val="auto"/>
          <w:sz w:val="24"/>
          <w:szCs w:val="24"/>
          <w:highlight w:val="none"/>
        </w:rPr>
        <w:t>。</w:t>
      </w:r>
    </w:p>
    <w:p>
      <w:pPr>
        <w:pageBreakBefore w:val="0"/>
        <w:kinsoku/>
        <w:wordWrap/>
        <w:overflowPunct/>
        <w:topLinePunct w:val="0"/>
        <w:bidi w:val="0"/>
        <w:spacing w:line="360" w:lineRule="auto"/>
        <w:ind w:firstLine="486"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c 、增值税电子普通发票</w:t>
      </w:r>
      <w:r>
        <w:rPr>
          <w:rFonts w:hint="eastAsia" w:ascii="仿宋_GB2312" w:hAnsi="仿宋_GB2312" w:eastAsia="仿宋_GB2312" w:cs="仿宋_GB2312"/>
          <w:b/>
          <w:bCs/>
          <w:color w:val="auto"/>
          <w:sz w:val="24"/>
          <w:szCs w:val="24"/>
          <w:highlight w:val="none"/>
          <w:lang w:eastAsia="zh-CN"/>
        </w:rPr>
        <w:t>□</w:t>
      </w:r>
    </w:p>
    <w:p>
      <w:pPr>
        <w:pageBreakBefore w:val="0"/>
        <w:kinsoku/>
        <w:wordWrap/>
        <w:overflowPunct/>
        <w:topLinePunct w:val="0"/>
        <w:bidi w:val="0"/>
        <w:spacing w:line="360" w:lineRule="auto"/>
        <w:ind w:firstLine="486"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4"/>
          <w:highlight w:val="none"/>
        </w:rPr>
        <w:t>d 、国税通用机打发票</w:t>
      </w:r>
      <w:r>
        <w:rPr>
          <w:rFonts w:hint="eastAsia" w:ascii="仿宋_GB2312" w:hAnsi="仿宋_GB2312" w:eastAsia="仿宋_GB2312" w:cs="仿宋_GB2312"/>
          <w:b/>
          <w:bCs/>
          <w:color w:val="auto"/>
          <w:sz w:val="24"/>
          <w:szCs w:val="24"/>
          <w:highlight w:val="none"/>
        </w:rPr>
        <w:t>□</w:t>
      </w:r>
    </w:p>
    <w:p>
      <w:pPr>
        <w:pStyle w:val="9"/>
        <w:pageBreakBefore w:val="0"/>
        <w:kinsoku/>
        <w:wordWrap/>
        <w:overflowPunct/>
        <w:topLinePunct w:val="0"/>
        <w:bidi w:val="0"/>
        <w:spacing w:line="360" w:lineRule="auto"/>
        <w:ind w:firstLine="486"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e、其他发票</w:t>
      </w:r>
      <w:r>
        <w:rPr>
          <w:rFonts w:hint="eastAsia" w:ascii="仿宋_GB2312" w:hAnsi="仿宋_GB2312" w:eastAsia="仿宋_GB2312" w:cs="仿宋_GB2312"/>
          <w:b/>
          <w:bCs/>
          <w:color w:val="auto"/>
          <w:sz w:val="24"/>
          <w:szCs w:val="24"/>
          <w:highlight w:val="none"/>
          <w:lang w:eastAsia="zh-CN"/>
        </w:rPr>
        <w:t>□</w:t>
      </w:r>
    </w:p>
    <w:p>
      <w:pPr>
        <w:pageBreakBefore w:val="0"/>
        <w:kinsoku/>
        <w:wordWrap/>
        <w:overflowPunct/>
        <w:topLinePunct w:val="0"/>
        <w:bidi w:val="0"/>
        <w:spacing w:before="0" w:after="0" w:line="360" w:lineRule="auto"/>
        <w:ind w:firstLine="486" w:firstLineChars="200"/>
        <w:outlineLvl w:val="9"/>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甲乙双方的信息：</w:t>
      </w:r>
    </w:p>
    <w:p>
      <w:pPr>
        <w:pageBreakBefore w:val="0"/>
        <w:kinsoku/>
        <w:wordWrap/>
        <w:overflowPunct/>
        <w:topLinePunct w:val="0"/>
        <w:bidi w:val="0"/>
        <w:spacing w:before="0" w:after="0" w:line="360" w:lineRule="auto"/>
        <w:ind w:firstLine="486" w:firstLineChars="200"/>
        <w:outlineLvl w:val="9"/>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（1）甲方开票信息如下：</w:t>
      </w:r>
    </w:p>
    <w:p>
      <w:pPr>
        <w:pageBreakBefore w:val="0"/>
        <w:kinsoku/>
        <w:wordWrap/>
        <w:overflowPunct/>
        <w:topLinePunct w:val="0"/>
        <w:bidi w:val="0"/>
        <w:spacing w:before="0" w:after="0" w:line="360" w:lineRule="auto"/>
        <w:ind w:firstLine="486" w:firstLineChars="200"/>
        <w:outlineLvl w:val="9"/>
        <w:rPr>
          <w:rFonts w:hint="eastAsia" w:ascii="仿宋_GB2312" w:hAnsi="仿宋_GB2312" w:eastAsia="仿宋_GB2312" w:cs="仿宋_GB2312"/>
          <w:b w:val="0"/>
          <w:bCs w:val="0"/>
          <w:color w:val="auto"/>
          <w:sz w:val="24"/>
          <w:szCs w:val="24"/>
          <w:highlight w:val="none"/>
          <w:u w:val="single"/>
        </w:rPr>
      </w:pPr>
      <w:r>
        <w:rPr>
          <w:rFonts w:hint="eastAsia" w:ascii="仿宋_GB2312" w:hAnsi="仿宋_GB2312" w:eastAsia="仿宋_GB2312" w:cs="仿宋_GB2312"/>
          <w:b w:val="0"/>
          <w:bCs w:val="0"/>
          <w:color w:val="auto"/>
          <w:sz w:val="24"/>
          <w:szCs w:val="24"/>
          <w:highlight w:val="none"/>
        </w:rPr>
        <w:t>纳税人名称：</w:t>
      </w:r>
      <w:r>
        <w:rPr>
          <w:rFonts w:hint="eastAsia" w:ascii="仿宋_GB2312" w:hAnsi="仿宋_GB2312" w:eastAsia="仿宋_GB2312" w:cs="仿宋_GB2312"/>
          <w:b w:val="0"/>
          <w:bCs w:val="0"/>
          <w:color w:val="auto"/>
          <w:sz w:val="24"/>
          <w:szCs w:val="24"/>
          <w:highlight w:val="none"/>
          <w:u w:val="single"/>
        </w:rPr>
        <w:t>云南建投第十建设有限公司</w:t>
      </w:r>
      <w:r>
        <w:rPr>
          <w:rFonts w:hint="eastAsia" w:ascii="仿宋_GB2312" w:hAnsi="仿宋_GB2312" w:eastAsia="仿宋_GB2312" w:cs="仿宋_GB2312"/>
          <w:b w:val="0"/>
          <w:bCs w:val="0"/>
          <w:color w:val="auto"/>
          <w:sz w:val="24"/>
          <w:szCs w:val="24"/>
          <w:highlight w:val="none"/>
          <w:u w:val="single"/>
          <w:lang w:val="en-US" w:eastAsia="zh-CN"/>
        </w:rPr>
        <w:t>绥江分公司</w:t>
      </w:r>
      <w:r>
        <w:rPr>
          <w:rFonts w:hint="eastAsia" w:ascii="仿宋_GB2312" w:hAnsi="仿宋_GB2312" w:eastAsia="仿宋_GB2312" w:cs="仿宋_GB2312"/>
          <w:b w:val="0"/>
          <w:bCs w:val="0"/>
          <w:color w:val="auto"/>
          <w:sz w:val="24"/>
          <w:szCs w:val="24"/>
          <w:highlight w:val="none"/>
          <w:u w:val="single"/>
        </w:rPr>
        <w:t xml:space="preserve">  </w:t>
      </w:r>
    </w:p>
    <w:p>
      <w:pPr>
        <w:pageBreakBefore w:val="0"/>
        <w:kinsoku/>
        <w:wordWrap/>
        <w:overflowPunct/>
        <w:topLinePunct w:val="0"/>
        <w:bidi w:val="0"/>
        <w:spacing w:before="0" w:after="0" w:line="360" w:lineRule="auto"/>
        <w:ind w:firstLine="486" w:firstLineChars="200"/>
        <w:outlineLvl w:val="9"/>
        <w:rPr>
          <w:rFonts w:hint="eastAsia" w:ascii="仿宋_GB2312" w:hAnsi="仿宋_GB2312" w:eastAsia="仿宋_GB2312" w:cs="仿宋_GB2312"/>
          <w:b w:val="0"/>
          <w:bCs w:val="0"/>
          <w:color w:val="auto"/>
          <w:sz w:val="24"/>
          <w:szCs w:val="24"/>
          <w:highlight w:val="none"/>
          <w:u w:val="single"/>
        </w:rPr>
      </w:pPr>
      <w:r>
        <w:rPr>
          <w:rFonts w:hint="eastAsia" w:ascii="仿宋_GB2312" w:hAnsi="仿宋_GB2312" w:eastAsia="仿宋_GB2312" w:cs="仿宋_GB2312"/>
          <w:b w:val="0"/>
          <w:bCs w:val="0"/>
          <w:color w:val="auto"/>
          <w:sz w:val="24"/>
          <w:szCs w:val="24"/>
          <w:highlight w:val="none"/>
        </w:rPr>
        <w:t>纳税人识别号：</w:t>
      </w:r>
      <w:r>
        <w:rPr>
          <w:rFonts w:hint="eastAsia" w:ascii="仿宋_GB2312" w:hAnsi="仿宋_GB2312" w:eastAsia="仿宋_GB2312" w:cs="仿宋_GB2312"/>
          <w:b w:val="0"/>
          <w:bCs w:val="0"/>
          <w:color w:val="auto"/>
          <w:sz w:val="24"/>
          <w:szCs w:val="24"/>
          <w:highlight w:val="none"/>
          <w:u w:val="single"/>
        </w:rPr>
        <w:t xml:space="preserve"> </w:t>
      </w:r>
      <w:r>
        <w:rPr>
          <w:rFonts w:hint="eastAsia" w:ascii="仿宋_GB2312" w:hAnsi="仿宋_GB2312" w:eastAsia="仿宋_GB2312" w:cs="仿宋_GB2312"/>
          <w:b w:val="0"/>
          <w:bCs w:val="0"/>
          <w:color w:val="auto"/>
          <w:sz w:val="24"/>
          <w:szCs w:val="24"/>
          <w:highlight w:val="none"/>
          <w:u w:val="single"/>
          <w:lang w:val="en-US" w:eastAsia="zh-CN"/>
        </w:rPr>
        <w:t>91530626MA7L7XBB7F</w:t>
      </w:r>
      <w:r>
        <w:rPr>
          <w:rFonts w:hint="eastAsia" w:ascii="仿宋_GB2312" w:hAnsi="仿宋_GB2312" w:eastAsia="仿宋_GB2312" w:cs="仿宋_GB2312"/>
          <w:b w:val="0"/>
          <w:bCs w:val="0"/>
          <w:color w:val="auto"/>
          <w:sz w:val="24"/>
          <w:szCs w:val="24"/>
          <w:highlight w:val="none"/>
          <w:u w:val="single"/>
        </w:rPr>
        <w:t xml:space="preserve"> </w:t>
      </w:r>
    </w:p>
    <w:p>
      <w:pPr>
        <w:pageBreakBefore w:val="0"/>
        <w:tabs>
          <w:tab w:val="left" w:pos="360"/>
          <w:tab w:val="left" w:pos="540"/>
          <w:tab w:val="left" w:pos="1260"/>
          <w:tab w:val="left" w:pos="2340"/>
        </w:tabs>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地址、电话：</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云南省昭通市绥江县中城镇农业村7组， 13888355919</w:t>
      </w:r>
      <w:r>
        <w:rPr>
          <w:rFonts w:hint="eastAsia" w:ascii="仿宋_GB2312" w:hAnsi="仿宋_GB2312" w:eastAsia="仿宋_GB2312" w:cs="仿宋_GB2312"/>
          <w:color w:val="auto"/>
          <w:sz w:val="24"/>
          <w:szCs w:val="24"/>
          <w:highlight w:val="none"/>
          <w:u w:val="single"/>
        </w:rPr>
        <w:t xml:space="preserve">   </w:t>
      </w:r>
    </w:p>
    <w:p>
      <w:pPr>
        <w:pageBreakBefore w:val="0"/>
        <w:tabs>
          <w:tab w:val="left" w:pos="360"/>
          <w:tab w:val="left" w:pos="540"/>
          <w:tab w:val="left" w:pos="1260"/>
          <w:tab w:val="left" w:pos="2340"/>
        </w:tabs>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开户行名称:</w:t>
      </w:r>
      <w:r>
        <w:rPr>
          <w:rFonts w:hint="eastAsia" w:ascii="仿宋_GB2312" w:hAnsi="仿宋_GB2312" w:eastAsia="仿宋_GB2312" w:cs="仿宋_GB2312"/>
          <w:color w:val="auto"/>
          <w:sz w:val="24"/>
          <w:szCs w:val="24"/>
          <w:highlight w:val="none"/>
          <w:u w:val="single"/>
        </w:rPr>
        <w:t xml:space="preserve"> 绥江县农村信用合作联社中城信用社  </w:t>
      </w:r>
    </w:p>
    <w:p>
      <w:pPr>
        <w:pageBreakBefore w:val="0"/>
        <w:tabs>
          <w:tab w:val="left" w:pos="360"/>
          <w:tab w:val="left" w:pos="540"/>
          <w:tab w:val="left" w:pos="1260"/>
          <w:tab w:val="left" w:pos="2340"/>
        </w:tabs>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 xml:space="preserve">开户银行账号: </w:t>
      </w:r>
      <w:r>
        <w:rPr>
          <w:rFonts w:hint="eastAsia" w:ascii="仿宋_GB2312" w:hAnsi="仿宋_GB2312" w:eastAsia="仿宋_GB2312" w:cs="仿宋_GB2312"/>
          <w:color w:val="auto"/>
          <w:sz w:val="24"/>
          <w:szCs w:val="24"/>
          <w:highlight w:val="none"/>
          <w:u w:val="single"/>
        </w:rPr>
        <w:t xml:space="preserve"> 2200025130046012 </w:t>
      </w:r>
    </w:p>
    <w:p>
      <w:pPr>
        <w:pageBreakBefore w:val="0"/>
        <w:tabs>
          <w:tab w:val="left" w:pos="360"/>
          <w:tab w:val="left" w:pos="540"/>
          <w:tab w:val="left" w:pos="1260"/>
          <w:tab w:val="left" w:pos="2340"/>
        </w:tabs>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（2）乙方开票信息如下：</w:t>
      </w:r>
    </w:p>
    <w:p>
      <w:pPr>
        <w:pageBreakBefore w:val="0"/>
        <w:tabs>
          <w:tab w:val="left" w:pos="360"/>
          <w:tab w:val="left" w:pos="540"/>
          <w:tab w:val="left" w:pos="1260"/>
          <w:tab w:val="left" w:pos="2340"/>
        </w:tabs>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纳税人名称：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 </w:t>
      </w:r>
    </w:p>
    <w:p>
      <w:pPr>
        <w:pageBreakBefore w:val="0"/>
        <w:tabs>
          <w:tab w:val="left" w:pos="360"/>
          <w:tab w:val="left" w:pos="540"/>
          <w:tab w:val="left" w:pos="1260"/>
          <w:tab w:val="left" w:pos="2340"/>
        </w:tabs>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纳</w:t>
      </w:r>
      <w:r>
        <w:rPr>
          <w:rFonts w:hint="eastAsia" w:ascii="仿宋_GB2312" w:hAnsi="仿宋_GB2312" w:eastAsia="仿宋_GB2312" w:cs="仿宋_GB2312"/>
          <w:color w:val="auto"/>
          <w:sz w:val="24"/>
          <w:szCs w:val="24"/>
          <w:highlight w:val="none"/>
          <w:u w:val="none"/>
        </w:rPr>
        <w:t>税人识别号</w:t>
      </w:r>
      <w:r>
        <w:rPr>
          <w:rFonts w:hint="eastAsia" w:ascii="仿宋_GB2312" w:hAnsi="仿宋_GB2312" w:eastAsia="仿宋_GB2312" w:cs="仿宋_GB2312"/>
          <w:color w:val="auto"/>
          <w:sz w:val="24"/>
          <w:szCs w:val="24"/>
          <w:highlight w:val="none"/>
          <w:u w:val="single"/>
        </w:rPr>
        <w:t xml:space="preserve">：                           </w:t>
      </w:r>
    </w:p>
    <w:p>
      <w:pPr>
        <w:pageBreakBefore w:val="0"/>
        <w:tabs>
          <w:tab w:val="left" w:pos="360"/>
          <w:tab w:val="left" w:pos="540"/>
          <w:tab w:val="left" w:pos="1260"/>
          <w:tab w:val="left" w:pos="2340"/>
        </w:tabs>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u w:val="none"/>
        </w:rPr>
        <w:t>地址、电话</w:t>
      </w:r>
      <w:r>
        <w:rPr>
          <w:rFonts w:hint="eastAsia" w:ascii="仿宋_GB2312" w:hAnsi="仿宋_GB2312" w:eastAsia="仿宋_GB2312" w:cs="仿宋_GB2312"/>
          <w:color w:val="auto"/>
          <w:sz w:val="24"/>
          <w:szCs w:val="24"/>
          <w:highlight w:val="none"/>
          <w:u w:val="single"/>
        </w:rPr>
        <w:t xml:space="preserve">：                             </w:t>
      </w:r>
    </w:p>
    <w:p>
      <w:pPr>
        <w:pageBreakBefore w:val="0"/>
        <w:tabs>
          <w:tab w:val="left" w:pos="360"/>
          <w:tab w:val="left" w:pos="540"/>
          <w:tab w:val="left" w:pos="1260"/>
          <w:tab w:val="left" w:pos="2340"/>
        </w:tabs>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u w:val="none"/>
        </w:rPr>
        <w:t>开户银行</w:t>
      </w:r>
      <w:r>
        <w:rPr>
          <w:rFonts w:hint="eastAsia" w:ascii="仿宋_GB2312" w:hAnsi="仿宋_GB2312" w:eastAsia="仿宋_GB2312" w:cs="仿宋_GB2312"/>
          <w:color w:val="auto"/>
          <w:sz w:val="24"/>
          <w:szCs w:val="24"/>
          <w:highlight w:val="none"/>
          <w:u w:val="single"/>
        </w:rPr>
        <w:t xml:space="preserve">：                               </w:t>
      </w:r>
    </w:p>
    <w:p>
      <w:pPr>
        <w:pageBreakBefore w:val="0"/>
        <w:tabs>
          <w:tab w:val="left" w:pos="360"/>
          <w:tab w:val="left" w:pos="540"/>
          <w:tab w:val="left" w:pos="1260"/>
          <w:tab w:val="left" w:pos="2340"/>
        </w:tabs>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u w:val="none"/>
        </w:rPr>
        <w:t>账号</w:t>
      </w:r>
      <w:r>
        <w:rPr>
          <w:rFonts w:hint="eastAsia" w:ascii="仿宋_GB2312" w:hAnsi="仿宋_GB2312" w:eastAsia="仿宋_GB2312" w:cs="仿宋_GB2312"/>
          <w:color w:val="auto"/>
          <w:sz w:val="24"/>
          <w:szCs w:val="24"/>
          <w:highlight w:val="none"/>
          <w:u w:val="single"/>
        </w:rPr>
        <w:t xml:space="preserve">：                                   </w:t>
      </w:r>
    </w:p>
    <w:p>
      <w:pPr>
        <w:pStyle w:val="9"/>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）保证合同流、货物流、发票流及资金流“四流统一”，即：货物劳务供应、发票提供、资金收付相关信息需与合同主体约定一致。</w:t>
      </w:r>
    </w:p>
    <w:p>
      <w:pPr>
        <w:pStyle w:val="9"/>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）分包</w:t>
      </w:r>
      <w:r>
        <w:rPr>
          <w:rFonts w:hint="eastAsia" w:ascii="仿宋_GB2312" w:hAnsi="仿宋_GB2312" w:eastAsia="仿宋_GB2312" w:cs="仿宋_GB2312"/>
          <w:color w:val="auto"/>
          <w:sz w:val="24"/>
          <w:szCs w:val="24"/>
          <w:highlight w:val="none"/>
          <w:lang w:val="en-US" w:eastAsia="zh-CN"/>
        </w:rPr>
        <w:t>人</w:t>
      </w:r>
      <w:r>
        <w:rPr>
          <w:rFonts w:hint="eastAsia" w:ascii="仿宋_GB2312" w:hAnsi="仿宋_GB2312" w:eastAsia="仿宋_GB2312" w:cs="仿宋_GB2312"/>
          <w:color w:val="auto"/>
          <w:sz w:val="24"/>
          <w:szCs w:val="24"/>
          <w:highlight w:val="none"/>
        </w:rPr>
        <w:t>须保证增值税发票的真实、合法、有效、完整，否则若造成承包</w:t>
      </w:r>
      <w:r>
        <w:rPr>
          <w:rFonts w:hint="eastAsia" w:ascii="仿宋_GB2312" w:hAnsi="仿宋_GB2312" w:eastAsia="仿宋_GB2312" w:cs="仿宋_GB2312"/>
          <w:color w:val="auto"/>
          <w:sz w:val="24"/>
          <w:szCs w:val="24"/>
          <w:highlight w:val="none"/>
          <w:lang w:val="en-US" w:eastAsia="zh-CN"/>
        </w:rPr>
        <w:t>人</w:t>
      </w:r>
      <w:r>
        <w:rPr>
          <w:rFonts w:hint="eastAsia" w:ascii="仿宋_GB2312" w:hAnsi="仿宋_GB2312" w:eastAsia="仿宋_GB2312" w:cs="仿宋_GB2312"/>
          <w:color w:val="auto"/>
          <w:sz w:val="24"/>
          <w:szCs w:val="24"/>
          <w:highlight w:val="none"/>
        </w:rPr>
        <w:t>日后发生税收风险而产生的经济损失，应由分包</w:t>
      </w:r>
      <w:r>
        <w:rPr>
          <w:rFonts w:hint="eastAsia" w:ascii="仿宋_GB2312" w:hAnsi="仿宋_GB2312" w:eastAsia="仿宋_GB2312" w:cs="仿宋_GB2312"/>
          <w:color w:val="auto"/>
          <w:sz w:val="24"/>
          <w:szCs w:val="24"/>
          <w:highlight w:val="none"/>
          <w:lang w:val="en-US" w:eastAsia="zh-CN"/>
        </w:rPr>
        <w:t>人</w:t>
      </w:r>
      <w:r>
        <w:rPr>
          <w:rFonts w:hint="eastAsia" w:ascii="仿宋_GB2312" w:hAnsi="仿宋_GB2312" w:eastAsia="仿宋_GB2312" w:cs="仿宋_GB2312"/>
          <w:color w:val="auto"/>
          <w:sz w:val="24"/>
          <w:szCs w:val="24"/>
          <w:highlight w:val="none"/>
        </w:rPr>
        <w:t>承担，承包</w:t>
      </w:r>
      <w:r>
        <w:rPr>
          <w:rFonts w:hint="eastAsia" w:ascii="仿宋_GB2312" w:hAnsi="仿宋_GB2312" w:eastAsia="仿宋_GB2312" w:cs="仿宋_GB2312"/>
          <w:color w:val="auto"/>
          <w:sz w:val="24"/>
          <w:szCs w:val="24"/>
          <w:highlight w:val="none"/>
          <w:lang w:val="en-US" w:eastAsia="zh-CN"/>
        </w:rPr>
        <w:t>人</w:t>
      </w:r>
      <w:r>
        <w:rPr>
          <w:rFonts w:hint="eastAsia" w:ascii="仿宋_GB2312" w:hAnsi="仿宋_GB2312" w:eastAsia="仿宋_GB2312" w:cs="仿宋_GB2312"/>
          <w:color w:val="auto"/>
          <w:sz w:val="24"/>
          <w:szCs w:val="24"/>
          <w:highlight w:val="none"/>
        </w:rPr>
        <w:t>保持进一步提起法律诉讼之权利。若</w:t>
      </w:r>
      <w:r>
        <w:rPr>
          <w:rFonts w:hint="eastAsia" w:ascii="仿宋_GB2312" w:hAnsi="仿宋_GB2312" w:eastAsia="仿宋_GB2312" w:cs="仿宋_GB2312"/>
          <w:color w:val="auto"/>
          <w:sz w:val="24"/>
          <w:szCs w:val="24"/>
          <w:highlight w:val="none"/>
          <w:lang w:val="en-US" w:eastAsia="zh-CN"/>
        </w:rPr>
        <w:t>发包人</w:t>
      </w:r>
      <w:r>
        <w:rPr>
          <w:rFonts w:hint="eastAsia" w:ascii="仿宋_GB2312" w:hAnsi="仿宋_GB2312" w:eastAsia="仿宋_GB2312" w:cs="仿宋_GB2312"/>
          <w:color w:val="auto"/>
          <w:sz w:val="24"/>
          <w:szCs w:val="24"/>
          <w:highlight w:val="none"/>
        </w:rPr>
        <w:t>提供的发票经税务机关检查认定为无效票据及假票，</w:t>
      </w:r>
      <w:r>
        <w:rPr>
          <w:rFonts w:hint="eastAsia" w:ascii="仿宋_GB2312" w:hAnsi="仿宋_GB2312" w:eastAsia="仿宋_GB2312" w:cs="仿宋_GB2312"/>
          <w:color w:val="auto"/>
          <w:sz w:val="24"/>
          <w:szCs w:val="24"/>
          <w:highlight w:val="none"/>
          <w:lang w:val="en-US" w:eastAsia="zh-CN"/>
        </w:rPr>
        <w:t>承包人</w:t>
      </w:r>
      <w:r>
        <w:rPr>
          <w:rFonts w:hint="eastAsia" w:ascii="仿宋_GB2312" w:hAnsi="仿宋_GB2312" w:eastAsia="仿宋_GB2312" w:cs="仿宋_GB2312"/>
          <w:color w:val="auto"/>
          <w:sz w:val="24"/>
          <w:szCs w:val="24"/>
          <w:highlight w:val="none"/>
        </w:rPr>
        <w:t>拒绝支付</w:t>
      </w:r>
      <w:r>
        <w:rPr>
          <w:rFonts w:hint="eastAsia" w:ascii="仿宋_GB2312" w:hAnsi="仿宋_GB2312" w:eastAsia="仿宋_GB2312" w:cs="仿宋_GB2312"/>
          <w:color w:val="auto"/>
          <w:sz w:val="24"/>
          <w:szCs w:val="24"/>
          <w:highlight w:val="none"/>
          <w:lang w:val="en-US" w:eastAsia="zh-CN"/>
        </w:rPr>
        <w:t>价</w:t>
      </w:r>
      <w:r>
        <w:rPr>
          <w:rFonts w:hint="eastAsia" w:ascii="仿宋_GB2312" w:hAnsi="仿宋_GB2312" w:eastAsia="仿宋_GB2312" w:cs="仿宋_GB2312"/>
          <w:color w:val="auto"/>
          <w:sz w:val="24"/>
          <w:szCs w:val="24"/>
          <w:highlight w:val="none"/>
        </w:rPr>
        <w:t>款，由此产生的一切经济责任并由</w:t>
      </w:r>
      <w:r>
        <w:rPr>
          <w:rFonts w:hint="eastAsia" w:ascii="仿宋_GB2312" w:hAnsi="仿宋_GB2312" w:eastAsia="仿宋_GB2312" w:cs="仿宋_GB2312"/>
          <w:color w:val="auto"/>
          <w:sz w:val="24"/>
          <w:szCs w:val="24"/>
          <w:highlight w:val="none"/>
          <w:lang w:val="en-US" w:eastAsia="zh-CN"/>
        </w:rPr>
        <w:t>分包人</w:t>
      </w:r>
      <w:r>
        <w:rPr>
          <w:rFonts w:hint="eastAsia" w:ascii="仿宋_GB2312" w:hAnsi="仿宋_GB2312" w:eastAsia="仿宋_GB2312" w:cs="仿宋_GB2312"/>
          <w:color w:val="auto"/>
          <w:sz w:val="24"/>
          <w:szCs w:val="24"/>
          <w:highlight w:val="none"/>
        </w:rPr>
        <w:t>承担。</w:t>
      </w:r>
    </w:p>
    <w:p>
      <w:pPr>
        <w:pageBreakBefore w:val="0"/>
        <w:kinsoku/>
        <w:wordWrap/>
        <w:overflowPunct/>
        <w:topLinePunct w:val="0"/>
        <w:bidi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）若承包</w:t>
      </w:r>
      <w:r>
        <w:rPr>
          <w:rFonts w:hint="eastAsia" w:ascii="仿宋_GB2312" w:hAnsi="仿宋_GB2312" w:eastAsia="仿宋_GB2312" w:cs="仿宋_GB2312"/>
          <w:color w:val="auto"/>
          <w:sz w:val="24"/>
          <w:szCs w:val="24"/>
          <w:highlight w:val="none"/>
          <w:lang w:val="en-US" w:eastAsia="zh-CN"/>
        </w:rPr>
        <w:t>人</w:t>
      </w:r>
      <w:r>
        <w:rPr>
          <w:rFonts w:hint="eastAsia" w:ascii="仿宋_GB2312" w:hAnsi="仿宋_GB2312" w:eastAsia="仿宋_GB2312" w:cs="仿宋_GB2312"/>
          <w:color w:val="auto"/>
          <w:sz w:val="24"/>
          <w:szCs w:val="24"/>
          <w:highlight w:val="none"/>
        </w:rPr>
        <w:t>不慎遗失增值税专用发票（发票联或抵扣联），分包</w:t>
      </w:r>
      <w:r>
        <w:rPr>
          <w:rFonts w:hint="eastAsia" w:ascii="仿宋_GB2312" w:hAnsi="仿宋_GB2312" w:eastAsia="仿宋_GB2312" w:cs="仿宋_GB2312"/>
          <w:color w:val="auto"/>
          <w:sz w:val="24"/>
          <w:szCs w:val="24"/>
          <w:highlight w:val="none"/>
          <w:lang w:val="en-US" w:eastAsia="zh-CN"/>
        </w:rPr>
        <w:t>人</w:t>
      </w:r>
      <w:r>
        <w:rPr>
          <w:rFonts w:hint="eastAsia" w:ascii="仿宋_GB2312" w:hAnsi="仿宋_GB2312" w:eastAsia="仿宋_GB2312" w:cs="仿宋_GB2312"/>
          <w:color w:val="auto"/>
          <w:sz w:val="24"/>
          <w:szCs w:val="24"/>
          <w:highlight w:val="none"/>
        </w:rPr>
        <w:t>有责任和义务提供增值税专用发票记账联复印件及其主管税务机关出具的《丢失增值税专用发票已报税证明单》。</w:t>
      </w:r>
    </w:p>
    <w:p>
      <w:pPr>
        <w:pageBreakBefore w:val="0"/>
        <w:kinsoku/>
        <w:wordWrap/>
        <w:overflowPunct/>
        <w:topLinePunct w:val="0"/>
        <w:bidi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9</w:t>
      </w:r>
      <w:r>
        <w:rPr>
          <w:rFonts w:hint="eastAsia" w:ascii="仿宋_GB2312" w:hAnsi="仿宋_GB2312" w:eastAsia="仿宋_GB2312" w:cs="仿宋_GB2312"/>
          <w:color w:val="auto"/>
          <w:sz w:val="24"/>
          <w:szCs w:val="24"/>
          <w:highlight w:val="none"/>
        </w:rPr>
        <w:t>）若分包</w:t>
      </w:r>
      <w:r>
        <w:rPr>
          <w:rFonts w:hint="eastAsia" w:ascii="仿宋_GB2312" w:hAnsi="仿宋_GB2312" w:eastAsia="仿宋_GB2312" w:cs="仿宋_GB2312"/>
          <w:color w:val="auto"/>
          <w:sz w:val="24"/>
          <w:szCs w:val="24"/>
          <w:highlight w:val="none"/>
          <w:lang w:val="en-US" w:eastAsia="zh-CN"/>
        </w:rPr>
        <w:t>人</w:t>
      </w:r>
      <w:r>
        <w:rPr>
          <w:rFonts w:hint="eastAsia" w:ascii="仿宋_GB2312" w:hAnsi="仿宋_GB2312" w:eastAsia="仿宋_GB2312" w:cs="仿宋_GB2312"/>
          <w:color w:val="auto"/>
          <w:sz w:val="24"/>
          <w:szCs w:val="24"/>
          <w:highlight w:val="none"/>
        </w:rPr>
        <w:t>提供增值税专用发票开具的货物或应税劳务数量为一批，必须同时提供防伪税控系统开具的《销售货物或者提供应税劳务清单》，并加盖发票专用章；建筑劳务类的增值税专用发票中备注栏须填写项目名称及项目地址。</w:t>
      </w:r>
    </w:p>
    <w:p>
      <w:pPr>
        <w:pageBreakBefore w:val="0"/>
        <w:kinsoku/>
        <w:wordWrap/>
        <w:overflowPunct/>
        <w:topLinePunct w:val="0"/>
        <w:bidi w:val="0"/>
        <w:spacing w:line="360" w:lineRule="auto"/>
        <w:ind w:firstLine="486"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10</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b/>
          <w:bCs/>
          <w:color w:val="auto"/>
          <w:sz w:val="24"/>
          <w:szCs w:val="24"/>
          <w:highlight w:val="none"/>
        </w:rPr>
        <w:t>分包</w:t>
      </w:r>
      <w:r>
        <w:rPr>
          <w:rFonts w:hint="eastAsia" w:ascii="仿宋_GB2312" w:hAnsi="仿宋_GB2312" w:eastAsia="仿宋_GB2312" w:cs="仿宋_GB2312"/>
          <w:b/>
          <w:bCs/>
          <w:color w:val="auto"/>
          <w:sz w:val="24"/>
          <w:szCs w:val="24"/>
          <w:highlight w:val="none"/>
          <w:lang w:val="en-US" w:eastAsia="zh-CN"/>
        </w:rPr>
        <w:t>人</w:t>
      </w:r>
      <w:r>
        <w:rPr>
          <w:rFonts w:hint="eastAsia" w:ascii="仿宋_GB2312" w:hAnsi="仿宋_GB2312" w:eastAsia="仿宋_GB2312" w:cs="仿宋_GB2312"/>
          <w:b/>
          <w:bCs/>
          <w:color w:val="auto"/>
          <w:sz w:val="24"/>
          <w:szCs w:val="24"/>
          <w:highlight w:val="none"/>
        </w:rPr>
        <w:t>需</w:t>
      </w:r>
      <w:r>
        <w:rPr>
          <w:rFonts w:hint="eastAsia" w:ascii="仿宋_GB2312" w:hAnsi="仿宋_GB2312" w:eastAsia="仿宋_GB2312" w:cs="仿宋_GB2312"/>
          <w:b/>
          <w:bCs/>
          <w:color w:val="auto"/>
          <w:sz w:val="24"/>
          <w:szCs w:val="24"/>
          <w:highlight w:val="none"/>
          <w:lang w:val="en-US" w:eastAsia="zh-CN"/>
        </w:rPr>
        <w:t>每月向</w:t>
      </w:r>
      <w:r>
        <w:rPr>
          <w:rFonts w:hint="eastAsia" w:ascii="仿宋_GB2312" w:hAnsi="仿宋_GB2312" w:eastAsia="仿宋_GB2312" w:cs="仿宋_GB2312"/>
          <w:b/>
          <w:bCs/>
          <w:color w:val="auto"/>
          <w:sz w:val="24"/>
          <w:szCs w:val="24"/>
          <w:highlight w:val="none"/>
        </w:rPr>
        <w:t>承包</w:t>
      </w:r>
      <w:r>
        <w:rPr>
          <w:rFonts w:hint="eastAsia" w:ascii="仿宋_GB2312" w:hAnsi="仿宋_GB2312" w:eastAsia="仿宋_GB2312" w:cs="仿宋_GB2312"/>
          <w:b/>
          <w:bCs/>
          <w:color w:val="auto"/>
          <w:sz w:val="24"/>
          <w:szCs w:val="24"/>
          <w:highlight w:val="none"/>
          <w:lang w:val="en-US" w:eastAsia="zh-CN"/>
        </w:rPr>
        <w:t>人</w:t>
      </w:r>
      <w:r>
        <w:rPr>
          <w:rFonts w:hint="eastAsia" w:ascii="仿宋_GB2312" w:hAnsi="仿宋_GB2312" w:eastAsia="仿宋_GB2312" w:cs="仿宋_GB2312"/>
          <w:b/>
          <w:bCs/>
          <w:color w:val="auto"/>
          <w:sz w:val="24"/>
          <w:szCs w:val="24"/>
          <w:highlight w:val="none"/>
        </w:rPr>
        <w:t>提供</w:t>
      </w:r>
      <w:r>
        <w:rPr>
          <w:rFonts w:hint="eastAsia" w:ascii="仿宋_GB2312" w:hAnsi="仿宋_GB2312" w:eastAsia="仿宋_GB2312" w:cs="仿宋_GB2312"/>
          <w:b/>
          <w:bCs/>
          <w:color w:val="auto"/>
          <w:sz w:val="24"/>
          <w:szCs w:val="24"/>
          <w:highlight w:val="none"/>
          <w:lang w:val="en-US" w:eastAsia="zh-CN"/>
        </w:rPr>
        <w:t>与</w:t>
      </w:r>
      <w:r>
        <w:rPr>
          <w:rFonts w:hint="eastAsia" w:ascii="仿宋_GB2312" w:hAnsi="仿宋_GB2312" w:eastAsia="仿宋_GB2312" w:cs="仿宋_GB2312"/>
          <w:b/>
          <w:bCs/>
          <w:color w:val="auto"/>
          <w:sz w:val="24"/>
          <w:szCs w:val="24"/>
          <w:highlight w:val="none"/>
        </w:rPr>
        <w:t>已认定完成</w:t>
      </w:r>
      <w:r>
        <w:rPr>
          <w:rFonts w:hint="eastAsia" w:ascii="仿宋_GB2312" w:hAnsi="仿宋_GB2312" w:eastAsia="仿宋_GB2312" w:cs="仿宋_GB2312"/>
          <w:b/>
          <w:bCs/>
          <w:color w:val="auto"/>
          <w:sz w:val="24"/>
          <w:szCs w:val="24"/>
          <w:highlight w:val="none"/>
          <w:lang w:eastAsia="zh-CN"/>
        </w:rPr>
        <w:t>产值</w:t>
      </w:r>
      <w:r>
        <w:rPr>
          <w:rFonts w:hint="eastAsia" w:ascii="仿宋_GB2312" w:hAnsi="仿宋_GB2312" w:eastAsia="仿宋_GB2312" w:cs="仿宋_GB2312"/>
          <w:b/>
          <w:bCs/>
          <w:color w:val="auto"/>
          <w:sz w:val="24"/>
          <w:szCs w:val="24"/>
          <w:highlight w:val="none"/>
        </w:rPr>
        <w:t>金额相匹配的发票，否则，承包人有权拒绝履行支付义务。</w:t>
      </w:r>
    </w:p>
    <w:p>
      <w:pPr>
        <w:pageBreakBefore w:val="0"/>
        <w:kinsoku/>
        <w:wordWrap/>
        <w:overflowPunct/>
        <w:topLinePunct w:val="0"/>
        <w:bidi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11</w:t>
      </w:r>
      <w:r>
        <w:rPr>
          <w:rFonts w:hint="eastAsia" w:ascii="仿宋_GB2312" w:hAnsi="仿宋_GB2312" w:eastAsia="仿宋_GB2312" w:cs="仿宋_GB2312"/>
          <w:color w:val="auto"/>
          <w:sz w:val="24"/>
          <w:szCs w:val="24"/>
          <w:highlight w:val="none"/>
        </w:rPr>
        <w:t>）发票载明应与合同标的、内容一致，否则，承包人有权拒绝履行支付义务，由此引起的一切后果由分包人承担。</w:t>
      </w:r>
    </w:p>
    <w:p>
      <w:pPr>
        <w:pStyle w:val="9"/>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szCs w:val="24"/>
          <w:highlight w:val="none"/>
          <w:lang w:val="en-US" w:eastAsia="zh-CN"/>
        </w:rPr>
        <w:t>（12）</w:t>
      </w:r>
      <w:r>
        <w:rPr>
          <w:rFonts w:hint="eastAsia" w:ascii="仿宋_GB2312" w:hAnsi="仿宋_GB2312" w:eastAsia="仿宋_GB2312" w:cs="仿宋_GB2312"/>
          <w:color w:val="auto"/>
          <w:sz w:val="24"/>
          <w:szCs w:val="24"/>
          <w:highlight w:val="none"/>
        </w:rPr>
        <w:t>若乙方提供的增值税发票存在恶意作废情形，给甲方带来恶意抵扣进项税的风险，甲方将严格按照《云南建投第十建设有限公司关于供应商恶意作废发票的告知函》相关规定处理。</w:t>
      </w:r>
    </w:p>
    <w:bookmarkEnd w:id="411"/>
    <w:p>
      <w:pPr>
        <w:pageBreakBefore w:val="0"/>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bookmarkStart w:id="900" w:name="_Toc11922714"/>
      <w:bookmarkStart w:id="901" w:name="_Toc11922807"/>
      <w:bookmarkStart w:id="902" w:name="_Toc447095746"/>
      <w:bookmarkStart w:id="903" w:name="_Toc11922808"/>
      <w:bookmarkStart w:id="904" w:name="_Toc11922715"/>
      <w:r>
        <w:rPr>
          <w:rFonts w:hint="eastAsia" w:ascii="仿宋_GB2312" w:hAnsi="仿宋" w:eastAsia="仿宋_GB2312" w:cs="仿宋"/>
          <w:color w:val="auto"/>
          <w:sz w:val="24"/>
          <w:szCs w:val="24"/>
          <w:highlight w:val="none"/>
        </w:rPr>
        <w:t>38.2在施工过程中，除承包人要求分包人限期更换不称职管理人员外，除承包人同意外分包人不得更换项目经理、项目总工、安全生产副经理及项目其他主要管理人员。否则，更换项目经理须支付违约金</w:t>
      </w:r>
      <w:r>
        <w:rPr>
          <w:rFonts w:hint="eastAsia" w:ascii="仿宋_GB2312" w:hAnsi="仿宋" w:eastAsia="仿宋_GB2312" w:cs="仿宋"/>
          <w:color w:val="auto"/>
          <w:sz w:val="24"/>
          <w:szCs w:val="24"/>
          <w:highlight w:val="none"/>
          <w:u w:val="single"/>
        </w:rPr>
        <w:tab/>
      </w:r>
      <w:r>
        <w:rPr>
          <w:rFonts w:hint="eastAsia" w:ascii="仿宋_GB2312" w:hAnsi="仿宋" w:eastAsia="仿宋_GB2312" w:cs="仿宋"/>
          <w:color w:val="auto"/>
          <w:sz w:val="24"/>
          <w:szCs w:val="24"/>
          <w:highlight w:val="none"/>
          <w:u w:val="single"/>
          <w:lang w:val="en-US" w:eastAsia="zh-CN"/>
        </w:rPr>
        <w:t>2000</w:t>
      </w:r>
      <w:r>
        <w:rPr>
          <w:rFonts w:hint="eastAsia" w:ascii="仿宋_GB2312" w:hAnsi="仿宋" w:eastAsia="仿宋_GB2312" w:cs="仿宋"/>
          <w:color w:val="auto"/>
          <w:sz w:val="24"/>
          <w:szCs w:val="24"/>
          <w:highlight w:val="none"/>
        </w:rPr>
        <w:t>元/人次，更换安全生产副经理、项目总工支付违约金</w:t>
      </w:r>
      <w:r>
        <w:rPr>
          <w:rFonts w:hint="eastAsia" w:ascii="仿宋_GB2312" w:hAnsi="仿宋" w:eastAsia="仿宋_GB2312" w:cs="仿宋"/>
          <w:color w:val="auto"/>
          <w:sz w:val="24"/>
          <w:szCs w:val="24"/>
          <w:highlight w:val="none"/>
          <w:u w:val="single"/>
        </w:rPr>
        <w:tab/>
      </w:r>
      <w:r>
        <w:rPr>
          <w:rFonts w:hint="eastAsia" w:ascii="仿宋_GB2312" w:hAnsi="仿宋" w:eastAsia="仿宋_GB2312" w:cs="仿宋"/>
          <w:color w:val="auto"/>
          <w:sz w:val="24"/>
          <w:szCs w:val="24"/>
          <w:highlight w:val="none"/>
          <w:u w:val="single"/>
          <w:lang w:val="en-US" w:eastAsia="zh-CN"/>
        </w:rPr>
        <w:t>1000</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元/人次，更换其他主要人员支付违约金</w:t>
      </w:r>
      <w:r>
        <w:rPr>
          <w:rFonts w:hint="eastAsia" w:ascii="仿宋_GB2312" w:hAnsi="仿宋" w:eastAsia="仿宋_GB2312" w:cs="仿宋"/>
          <w:color w:val="auto"/>
          <w:sz w:val="24"/>
          <w:szCs w:val="24"/>
          <w:highlight w:val="none"/>
          <w:u w:val="none"/>
        </w:rPr>
        <w:t xml:space="preserve">  </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0.1</w:t>
      </w:r>
      <w:r>
        <w:rPr>
          <w:rFonts w:hint="eastAsia" w:ascii="仿宋_GB2312" w:hAnsi="仿宋" w:eastAsia="仿宋_GB2312" w:cs="仿宋"/>
          <w:color w:val="auto"/>
          <w:sz w:val="24"/>
          <w:szCs w:val="24"/>
          <w:highlight w:val="none"/>
        </w:rPr>
        <w:t>万元/人次。承包人可以从分包人的任何款项中扣除更换人员违约金。</w:t>
      </w:r>
      <w:bookmarkEnd w:id="900"/>
      <w:bookmarkEnd w:id="901"/>
      <w:bookmarkEnd w:id="902"/>
    </w:p>
    <w:p>
      <w:pPr>
        <w:pageBreakBefore w:val="0"/>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38.3事故处理：发生重大伤亡及其他安全事故，分包人应按有关规定立即上报有关部门并通知承包人项目经理，同时按政府有关部门要求处理，由事故责任方承担发生的费用。双方对事故责任承担有争议时，分包人应先处理事故并支付一切费用，事后待事故原因查明后，由责任方承担所发生的费用。</w:t>
      </w:r>
      <w:bookmarkEnd w:id="903"/>
      <w:bookmarkEnd w:id="904"/>
    </w:p>
    <w:p>
      <w:pPr>
        <w:pageBreakBefore w:val="0"/>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bookmarkStart w:id="905" w:name="_Toc11922716"/>
      <w:bookmarkStart w:id="906" w:name="_Toc11922809"/>
      <w:r>
        <w:rPr>
          <w:rFonts w:hint="eastAsia" w:ascii="仿宋_GB2312" w:hAnsi="仿宋" w:eastAsia="仿宋_GB2312" w:cs="仿宋"/>
          <w:color w:val="auto"/>
          <w:sz w:val="24"/>
          <w:szCs w:val="24"/>
          <w:highlight w:val="none"/>
        </w:rPr>
        <w:t>38.4现场清理：合同工程验收后，分包人应按照承包人的指令，在规定时间内从施工现场自费撤走任何剩余的分包人的设备、多余材料、残余物、垃圾和临时设施等，逾期不撤走即视为分包人已放弃前述物资的所有权利，任由承包人进行处置。</w:t>
      </w:r>
      <w:bookmarkEnd w:id="905"/>
      <w:bookmarkEnd w:id="906"/>
    </w:p>
    <w:p>
      <w:pPr>
        <w:pStyle w:val="35"/>
        <w:pageBreakBefore w:val="0"/>
        <w:kinsoku/>
        <w:wordWrap/>
        <w:overflowPunct/>
        <w:topLinePunct w:val="0"/>
        <w:bidi w:val="0"/>
        <w:spacing w:line="360" w:lineRule="auto"/>
        <w:ind w:firstLine="480"/>
        <w:rPr>
          <w:rFonts w:hint="eastAsia"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rPr>
        <w:t>38.5通知条款：合同项下约定或拟作出的任何和全部通知、要求、命令或其他通信一般应采取中文书面形式，除前述合同条款已有约定外，必要时可以以下一个或多个方式送出，其送达有效日期为：(a)专人发送的为送达日，(b) EMS或其他快递发送的，分别以交付给快递服务公司后之第3个工作日或快递服务公司可能向发件人书面确认的更早的送达日期为送达日，接收方拒收的，仍按本条约定确认送达日。所有通知、要求、命令和其他通讯应送至以下地址，任一方变更联系方式的，应在变更后2个工作日内书面通知其他方，否则，未变更前的联系方式仍为有效，变更方承担怠于履行通知义务的相应后果</w:t>
      </w:r>
      <w:r>
        <w:rPr>
          <w:rFonts w:hint="eastAsia" w:ascii="仿宋_GB2312" w:hAnsi="仿宋" w:eastAsia="仿宋_GB2312" w:cs="仿宋"/>
          <w:color w:val="auto"/>
          <w:sz w:val="24"/>
          <w:szCs w:val="24"/>
          <w:highlight w:val="none"/>
          <w:lang w:eastAsia="zh-CN"/>
        </w:rPr>
        <w:t>。</w:t>
      </w:r>
    </w:p>
    <w:p>
      <w:pPr>
        <w:pStyle w:val="9"/>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ascii="仿宋_GB2312" w:hAnsi="仿宋_GB2312" w:eastAsia="仿宋_GB2312" w:cs="仿宋_GB2312"/>
          <w:color w:val="auto"/>
          <w:kern w:val="2"/>
          <w:sz w:val="24"/>
          <w:szCs w:val="24"/>
          <w:highlight w:val="none"/>
          <w:u w:val="single"/>
          <w:lang w:val="en-US" w:eastAsia="zh-CN" w:bidi="ar-SA"/>
        </w:rPr>
      </w:pPr>
      <w:r>
        <w:rPr>
          <w:rFonts w:hint="eastAsia" w:ascii="仿宋_GB2312" w:hAnsi="仿宋" w:eastAsia="仿宋_GB2312" w:cs="仿宋"/>
          <w:b w:val="0"/>
          <w:bCs w:val="0"/>
          <w:color w:val="auto"/>
          <w:sz w:val="24"/>
          <w:szCs w:val="24"/>
          <w:highlight w:val="none"/>
          <w:lang w:val="en-US" w:eastAsia="zh-CN"/>
        </w:rPr>
        <w:t>38.6</w:t>
      </w:r>
      <w:r>
        <w:rPr>
          <w:rFonts w:hint="eastAsia" w:ascii="仿宋_GB2312" w:hAnsi="仿宋" w:eastAsia="仿宋_GB2312" w:cs="仿宋"/>
          <w:b w:val="0"/>
          <w:bCs w:val="0"/>
          <w:color w:val="auto"/>
          <w:sz w:val="24"/>
          <w:szCs w:val="24"/>
          <w:highlight w:val="none"/>
        </w:rPr>
        <w:t>其他</w:t>
      </w:r>
      <w:r>
        <w:rPr>
          <w:rFonts w:hint="eastAsia" w:ascii="仿宋_GB2312" w:hAnsi="仿宋" w:eastAsia="仿宋_GB2312" w:cs="仿宋"/>
          <w:b w:val="0"/>
          <w:bCs w:val="0"/>
          <w:color w:val="auto"/>
          <w:sz w:val="24"/>
          <w:szCs w:val="24"/>
          <w:highlight w:val="none"/>
          <w:lang w:val="en-US" w:eastAsia="zh-CN"/>
        </w:rPr>
        <w:t>条款</w:t>
      </w:r>
      <w:r>
        <w:rPr>
          <w:rFonts w:hint="eastAsia" w:ascii="仿宋_GB2312" w:hAnsi="仿宋" w:eastAsia="仿宋_GB2312" w:cs="仿宋"/>
          <w:b w:val="0"/>
          <w:bCs w:val="0"/>
          <w:color w:val="auto"/>
          <w:sz w:val="24"/>
          <w:szCs w:val="24"/>
          <w:highlight w:val="none"/>
          <w:u w:val="none"/>
          <w:lang w:val="en-US" w:eastAsia="zh-CN"/>
        </w:rPr>
        <w:t>：</w:t>
      </w:r>
      <w:r>
        <w:rPr>
          <w:rFonts w:hint="eastAsia" w:ascii="仿宋_GB2312" w:hAnsi="仿宋_GB2312" w:eastAsia="仿宋_GB2312" w:cs="仿宋_GB2312"/>
          <w:color w:val="auto"/>
          <w:kern w:val="2"/>
          <w:sz w:val="24"/>
          <w:szCs w:val="24"/>
          <w:highlight w:val="none"/>
          <w:u w:val="none"/>
          <w:lang w:val="en-US" w:eastAsia="zh-CN" w:bidi="ar-SA"/>
        </w:rPr>
        <w:t>为推进施工技术的创新，承包人需配合发包人开展承包内容相关的施工技术、方法在施工中研究以及应用。</w:t>
      </w:r>
    </w:p>
    <w:p>
      <w:pPr>
        <w:pStyle w:val="9"/>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ascii="仿宋_GB2312" w:hAnsi="仿宋" w:eastAsia="仿宋_GB2312" w:cs="仿宋"/>
          <w:b w:val="0"/>
          <w:bCs w:val="0"/>
          <w:color w:val="auto"/>
          <w:sz w:val="24"/>
          <w:szCs w:val="24"/>
          <w:highlight w:val="none"/>
          <w:u w:val="single"/>
          <w:lang w:val="en-US" w:eastAsia="zh-CN"/>
        </w:rPr>
      </w:pPr>
      <w:r>
        <w:rPr>
          <w:rFonts w:hint="eastAsia" w:ascii="仿宋_GB2312" w:hAnsi="仿宋" w:eastAsia="仿宋_GB2312" w:cs="仿宋"/>
          <w:b w:val="0"/>
          <w:bCs w:val="0"/>
          <w:color w:val="auto"/>
          <w:sz w:val="24"/>
          <w:szCs w:val="24"/>
          <w:highlight w:val="none"/>
          <w:lang w:val="en-US" w:eastAsia="zh-CN"/>
        </w:rPr>
        <w:t>38.7</w:t>
      </w:r>
      <w:r>
        <w:rPr>
          <w:rFonts w:hint="eastAsia" w:ascii="仿宋_GB2312" w:hAnsi="仿宋" w:eastAsia="仿宋_GB2312" w:cs="仿宋"/>
          <w:b w:val="0"/>
          <w:bCs w:val="0"/>
          <w:color w:val="auto"/>
          <w:sz w:val="24"/>
          <w:szCs w:val="24"/>
          <w:highlight w:val="none"/>
        </w:rPr>
        <w:t>其他</w:t>
      </w:r>
      <w:r>
        <w:rPr>
          <w:rFonts w:hint="eastAsia" w:ascii="仿宋_GB2312" w:hAnsi="仿宋" w:eastAsia="仿宋_GB2312" w:cs="仿宋"/>
          <w:b w:val="0"/>
          <w:bCs w:val="0"/>
          <w:color w:val="auto"/>
          <w:sz w:val="24"/>
          <w:szCs w:val="24"/>
          <w:highlight w:val="none"/>
          <w:lang w:val="en-US" w:eastAsia="zh-CN"/>
        </w:rPr>
        <w:t>条</w:t>
      </w:r>
      <w:r>
        <w:rPr>
          <w:rFonts w:hint="eastAsia" w:ascii="仿宋_GB2312" w:hAnsi="仿宋" w:eastAsia="仿宋_GB2312" w:cs="仿宋"/>
          <w:b w:val="0"/>
          <w:bCs w:val="0"/>
          <w:color w:val="auto"/>
          <w:sz w:val="24"/>
          <w:szCs w:val="24"/>
          <w:highlight w:val="none"/>
          <w:u w:val="none"/>
          <w:lang w:val="en-US" w:eastAsia="zh-CN"/>
        </w:rPr>
        <w:t>款：</w:t>
      </w:r>
      <w:r>
        <w:rPr>
          <w:rFonts w:hint="eastAsia" w:ascii="仿宋_GB2312" w:hAnsi="仿宋" w:eastAsia="仿宋_GB2312" w:cs="仿宋"/>
          <w:b w:val="0"/>
          <w:bCs w:val="0"/>
          <w:color w:val="auto"/>
          <w:sz w:val="24"/>
          <w:szCs w:val="24"/>
          <w:highlight w:val="none"/>
          <w:u w:val="single"/>
          <w:lang w:val="en-US" w:eastAsia="zh-CN"/>
        </w:rPr>
        <w:t xml:space="preserve">                      </w:t>
      </w:r>
    </w:p>
    <w:p>
      <w:pPr>
        <w:pStyle w:val="9"/>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hint="default" w:ascii="仿宋_GB2312" w:hAnsi="仿宋" w:eastAsia="仿宋_GB2312" w:cs="仿宋"/>
          <w:b w:val="0"/>
          <w:bCs w:val="0"/>
          <w:color w:val="auto"/>
          <w:sz w:val="24"/>
          <w:szCs w:val="24"/>
          <w:highlight w:val="none"/>
          <w:u w:val="singl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319" w:firstLineChars="150"/>
        <w:textAlignment w:val="auto"/>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工程承包人：</w:t>
      </w:r>
      <w:r>
        <w:rPr>
          <w:rFonts w:hint="eastAsia" w:ascii="仿宋_GB2312" w:hAnsi="仿宋_GB2312" w:eastAsia="仿宋_GB2312" w:cs="仿宋_GB2312"/>
          <w:color w:val="auto"/>
          <w:szCs w:val="21"/>
          <w:highlight w:val="none"/>
          <w:u w:val="single"/>
        </w:rPr>
        <w:t xml:space="preserve">  云南建投第十建设有限公司  </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szCs w:val="21"/>
          <w:highlight w:val="none"/>
          <w:u w:val="none"/>
          <w:lang w:val="en-US" w:eastAsia="zh-CN"/>
        </w:rPr>
        <w:t xml:space="preserve">    </w:t>
      </w:r>
      <w:r>
        <w:rPr>
          <w:rFonts w:hint="eastAsia" w:ascii="仿宋_GB2312" w:hAnsi="仿宋_GB2312" w:eastAsia="仿宋_GB2312" w:cs="仿宋_GB2312"/>
          <w:color w:val="auto"/>
          <w:szCs w:val="21"/>
          <w:highlight w:val="none"/>
          <w:lang w:val="en-US" w:eastAsia="zh-CN"/>
        </w:rPr>
        <w:t>专业分包人：</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szCs w:val="21"/>
          <w:highlight w:val="none"/>
          <w:u w:val="none"/>
          <w:lang w:val="en-US" w:eastAsia="zh-CN"/>
        </w:rPr>
        <w:t xml:space="preserve">    </w:t>
      </w:r>
    </w:p>
    <w:p>
      <w:pPr>
        <w:pageBreakBefore w:val="0"/>
        <w:kinsoku/>
        <w:wordWrap/>
        <w:overflowPunct/>
        <w:topLinePunct w:val="0"/>
        <w:bidi w:val="0"/>
        <w:spacing w:line="360" w:lineRule="auto"/>
        <w:ind w:firstLine="532" w:firstLineChars="2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（公章）   </w:t>
      </w:r>
      <w:r>
        <w:rPr>
          <w:rFonts w:hint="eastAsia" w:ascii="仿宋_GB2312" w:hAnsi="仿宋_GB2312" w:eastAsia="仿宋_GB2312" w:cs="仿宋_GB2312"/>
          <w:color w:val="auto"/>
          <w:szCs w:val="21"/>
          <w:highlight w:val="none"/>
          <w:u w:val="single"/>
        </w:rPr>
        <w:t>绥江分公司</w:t>
      </w:r>
      <w:r>
        <w:rPr>
          <w:rFonts w:hint="eastAsia" w:ascii="仿宋_GB2312" w:hAnsi="仿宋_GB2312" w:eastAsia="仿宋_GB2312" w:cs="仿宋_GB2312"/>
          <w:color w:val="auto"/>
          <w:szCs w:val="21"/>
          <w:highlight w:val="none"/>
        </w:rPr>
        <w:t xml:space="preserve">       </w:t>
      </w:r>
      <w:r>
        <w:rPr>
          <w:rFonts w:hint="eastAsia" w:ascii="仿宋_GB2312" w:hAnsi="仿宋_GB2312" w:eastAsia="仿宋_GB2312" w:cs="仿宋_GB2312"/>
          <w:color w:val="auto"/>
          <w:szCs w:val="21"/>
          <w:highlight w:val="none"/>
          <w:lang w:val="en-US" w:eastAsia="zh-CN"/>
        </w:rPr>
        <w:t xml:space="preserve">                  </w:t>
      </w:r>
      <w:r>
        <w:rPr>
          <w:rFonts w:hint="eastAsia" w:ascii="仿宋_GB2312" w:hAnsi="仿宋_GB2312" w:eastAsia="仿宋_GB2312" w:cs="仿宋_GB2312"/>
          <w:color w:val="auto"/>
          <w:szCs w:val="21"/>
          <w:highlight w:val="none"/>
        </w:rPr>
        <w:t>（公章）</w:t>
      </w:r>
    </w:p>
    <w:p>
      <w:pPr>
        <w:pageBreakBefore w:val="0"/>
        <w:kinsoku/>
        <w:wordWrap/>
        <w:overflowPunct/>
        <w:topLinePunct w:val="0"/>
        <w:bidi w:val="0"/>
        <w:spacing w:line="360" w:lineRule="auto"/>
        <w:ind w:firstLine="319" w:firstLineChars="150"/>
        <w:rPr>
          <w:rFonts w:hint="eastAsia" w:ascii="仿宋_GB2312" w:hAnsi="仿宋_GB2312" w:eastAsia="仿宋_GB2312" w:cs="仿宋_GB2312"/>
          <w:color w:val="auto"/>
          <w:szCs w:val="21"/>
          <w:highlight w:val="none"/>
          <w:u w:val="single"/>
          <w:lang w:val="en-US" w:eastAsia="zh-CN"/>
        </w:rPr>
      </w:pPr>
      <w:r>
        <w:rPr>
          <w:rFonts w:hint="eastAsia" w:ascii="仿宋_GB2312" w:hAnsi="仿宋_GB2312" w:eastAsia="仿宋_GB2312" w:cs="仿宋_GB2312"/>
          <w:color w:val="auto"/>
          <w:szCs w:val="21"/>
          <w:highlight w:val="none"/>
        </w:rPr>
        <w:t>地址：</w:t>
      </w:r>
      <w:r>
        <w:rPr>
          <w:rFonts w:hint="eastAsia" w:ascii="仿宋_GB2312" w:hAnsi="仿宋_GB2312" w:eastAsia="仿宋_GB2312" w:cs="仿宋_GB2312"/>
          <w:color w:val="auto"/>
          <w:szCs w:val="21"/>
          <w:highlight w:val="none"/>
          <w:u w:val="single"/>
          <w:lang w:val="en-US" w:eastAsia="zh-CN"/>
        </w:rPr>
        <w:t xml:space="preserve"> 云南省昭通市绥江县中城镇农业村7组  </w:t>
      </w:r>
      <w:r>
        <w:rPr>
          <w:rFonts w:hint="eastAsia" w:ascii="仿宋_GB2312" w:hAnsi="仿宋_GB2312" w:eastAsia="仿宋_GB2312" w:cs="仿宋_GB2312"/>
          <w:color w:val="auto"/>
          <w:szCs w:val="21"/>
          <w:highlight w:val="none"/>
        </w:rPr>
        <w:t xml:space="preserve">     地   址：</w:t>
      </w:r>
      <w:r>
        <w:rPr>
          <w:rFonts w:hint="eastAsia" w:ascii="仿宋_GB2312" w:hAnsi="仿宋_GB2312" w:eastAsia="仿宋_GB2312" w:cs="仿宋_GB2312"/>
          <w:color w:val="auto"/>
          <w:szCs w:val="21"/>
          <w:highlight w:val="none"/>
          <w:u w:val="single"/>
          <w:lang w:val="en-US" w:eastAsia="zh-CN"/>
        </w:rPr>
        <w:t xml:space="preserve">                 </w:t>
      </w:r>
    </w:p>
    <w:p>
      <w:pPr>
        <w:pageBreakBefore w:val="0"/>
        <w:kinsoku/>
        <w:wordWrap/>
        <w:overflowPunct/>
        <w:topLinePunct w:val="0"/>
        <w:bidi w:val="0"/>
        <w:spacing w:line="360" w:lineRule="auto"/>
        <w:ind w:firstLine="319" w:firstLineChars="150"/>
        <w:rPr>
          <w:rFonts w:hint="eastAsia" w:ascii="仿宋_GB2312" w:hAnsi="仿宋_GB2312" w:eastAsia="仿宋_GB2312" w:cs="仿宋_GB2312"/>
          <w:color w:val="auto"/>
          <w:szCs w:val="21"/>
          <w:highlight w:val="none"/>
          <w:u w:val="single"/>
          <w:lang w:val="en-US" w:eastAsia="zh-CN"/>
        </w:rPr>
      </w:pPr>
      <w:r>
        <w:rPr>
          <w:rFonts w:hint="eastAsia" w:ascii="仿宋_GB2312" w:hAnsi="仿宋_GB2312" w:eastAsia="仿宋_GB2312" w:cs="仿宋_GB2312"/>
          <w:color w:val="auto"/>
          <w:szCs w:val="21"/>
          <w:highlight w:val="none"/>
        </w:rPr>
        <w:t>法定代表人：</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szCs w:val="21"/>
          <w:highlight w:val="none"/>
        </w:rPr>
        <w:t xml:space="preserve">     法定代表人：</w:t>
      </w:r>
      <w:r>
        <w:rPr>
          <w:rFonts w:hint="eastAsia" w:ascii="仿宋_GB2312" w:hAnsi="仿宋_GB2312" w:eastAsia="仿宋_GB2312" w:cs="仿宋_GB2312"/>
          <w:color w:val="auto"/>
          <w:szCs w:val="21"/>
          <w:highlight w:val="none"/>
          <w:u w:val="single"/>
          <w:lang w:val="en-US" w:eastAsia="zh-CN"/>
        </w:rPr>
        <w:t xml:space="preserve">                   </w:t>
      </w:r>
    </w:p>
    <w:p>
      <w:pPr>
        <w:pageBreakBefore w:val="0"/>
        <w:kinsoku/>
        <w:wordWrap/>
        <w:overflowPunct/>
        <w:topLinePunct w:val="0"/>
        <w:bidi w:val="0"/>
        <w:spacing w:line="360" w:lineRule="auto"/>
        <w:ind w:firstLine="319"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（或委托代理人）                   （或委托代理人）</w:t>
      </w:r>
    </w:p>
    <w:p>
      <w:pPr>
        <w:pageBreakBefore w:val="0"/>
        <w:kinsoku/>
        <w:wordWrap/>
        <w:overflowPunct/>
        <w:topLinePunct w:val="0"/>
        <w:bidi w:val="0"/>
        <w:spacing w:line="360" w:lineRule="auto"/>
        <w:ind w:firstLine="319" w:firstLineChars="15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联 系 电 话：</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szCs w:val="21"/>
          <w:highlight w:val="none"/>
        </w:rPr>
        <w:t xml:space="preserve">      联 系 电 话：</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szCs w:val="21"/>
          <w:highlight w:val="none"/>
          <w:lang w:val="en-US" w:eastAsia="zh-CN"/>
        </w:rPr>
        <w:t xml:space="preserve"> </w:t>
      </w:r>
    </w:p>
    <w:p>
      <w:pPr>
        <w:pageBreakBefore w:val="0"/>
        <w:kinsoku/>
        <w:wordWrap/>
        <w:overflowPunct/>
        <w:topLinePunct w:val="0"/>
        <w:bidi w:val="0"/>
        <w:spacing w:line="360" w:lineRule="auto"/>
        <w:ind w:firstLine="319" w:firstLineChars="150"/>
        <w:rPr>
          <w:rFonts w:hint="eastAsia" w:ascii="仿宋_GB2312" w:hAnsi="仿宋_GB2312" w:eastAsia="仿宋_GB2312" w:cs="仿宋_GB2312"/>
          <w:color w:val="auto"/>
          <w:szCs w:val="21"/>
          <w:highlight w:val="none"/>
          <w:u w:val="single"/>
          <w:lang w:val="en-US" w:eastAsia="zh-CN"/>
        </w:rPr>
      </w:pPr>
      <w:r>
        <w:rPr>
          <w:rFonts w:hint="eastAsia" w:ascii="仿宋_GB2312" w:hAnsi="仿宋_GB2312" w:eastAsia="仿宋_GB2312" w:cs="仿宋_GB2312"/>
          <w:color w:val="auto"/>
          <w:szCs w:val="21"/>
          <w:highlight w:val="none"/>
        </w:rPr>
        <w:t>日      期：</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szCs w:val="21"/>
          <w:highlight w:val="none"/>
        </w:rPr>
        <w:t xml:space="preserve">      </w:t>
      </w:r>
      <w:r>
        <w:rPr>
          <w:rFonts w:hint="eastAsia" w:ascii="仿宋_GB2312" w:hAnsi="仿宋_GB2312" w:eastAsia="仿宋_GB2312" w:cs="仿宋_GB2312"/>
          <w:color w:val="auto"/>
          <w:szCs w:val="21"/>
          <w:highlight w:val="none"/>
          <w:lang w:val="en-US" w:eastAsia="zh-CN"/>
        </w:rPr>
        <w:t xml:space="preserve"> </w:t>
      </w:r>
      <w:r>
        <w:rPr>
          <w:rFonts w:hint="eastAsia" w:ascii="仿宋_GB2312" w:hAnsi="仿宋_GB2312" w:eastAsia="仿宋_GB2312" w:cs="仿宋_GB2312"/>
          <w:color w:val="auto"/>
          <w:szCs w:val="21"/>
          <w:highlight w:val="none"/>
        </w:rPr>
        <w:t>日      期：</w:t>
      </w:r>
      <w:r>
        <w:rPr>
          <w:rFonts w:hint="eastAsia" w:ascii="仿宋_GB2312" w:hAnsi="仿宋_GB2312" w:eastAsia="仿宋_GB2312" w:cs="仿宋_GB2312"/>
          <w:color w:val="auto"/>
          <w:szCs w:val="21"/>
          <w:highlight w:val="none"/>
          <w:u w:val="single"/>
          <w:lang w:val="en-US" w:eastAsia="zh-CN"/>
        </w:rPr>
        <w:t xml:space="preserve">                  </w:t>
      </w:r>
    </w:p>
    <w:p>
      <w:pPr>
        <w:rPr>
          <w:rFonts w:hint="eastAsia" w:ascii="仿宋_GB2312" w:hAnsi="仿宋_GB2312" w:eastAsia="仿宋_GB2312" w:cs="仿宋_GB2312"/>
          <w:color w:val="auto"/>
          <w:szCs w:val="21"/>
          <w:highlight w:val="none"/>
          <w:u w:val="single"/>
          <w:lang w:val="en-US" w:eastAsia="zh-CN"/>
        </w:rPr>
      </w:pPr>
      <w:r>
        <w:rPr>
          <w:rFonts w:hint="eastAsia" w:ascii="仿宋_GB2312" w:hAnsi="仿宋_GB2312" w:eastAsia="仿宋_GB2312" w:cs="仿宋_GB2312"/>
          <w:color w:val="auto"/>
          <w:szCs w:val="21"/>
          <w:highlight w:val="none"/>
          <w:u w:val="single"/>
          <w:lang w:val="en-US" w:eastAsia="zh-CN"/>
        </w:rPr>
        <w:br w:type="page"/>
      </w:r>
    </w:p>
    <w:p>
      <w:pPr>
        <w:pageBreakBefore w:val="0"/>
        <w:kinsoku/>
        <w:wordWrap/>
        <w:overflowPunct/>
        <w:topLinePunct w:val="0"/>
        <w:bidi w:val="0"/>
        <w:adjustRightInd w:val="0"/>
        <w:snapToGrid w:val="0"/>
        <w:spacing w:line="360" w:lineRule="auto"/>
        <w:outlineLvl w:val="9"/>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附件</w:t>
      </w:r>
    </w:p>
    <w:p>
      <w:pPr>
        <w:pageBreakBefore w:val="0"/>
        <w:kinsoku/>
        <w:wordWrap/>
        <w:overflowPunct/>
        <w:topLinePunct w:val="0"/>
        <w:bidi w:val="0"/>
        <w:adjustRightInd w:val="0"/>
        <w:snapToGrid w:val="0"/>
        <w:spacing w:line="360" w:lineRule="auto"/>
        <w:ind w:firstLine="486" w:firstLineChars="200"/>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附件</w:t>
      </w:r>
      <w:r>
        <w:rPr>
          <w:rFonts w:hint="eastAsia" w:ascii="仿宋_GB2312" w:hAnsi="仿宋_GB2312" w:eastAsia="仿宋_GB2312" w:cs="仿宋_GB2312"/>
          <w:color w:val="auto"/>
          <w:sz w:val="24"/>
          <w:szCs w:val="24"/>
          <w:highlight w:val="none"/>
          <w:lang w:val="en-US" w:eastAsia="zh-CN"/>
        </w:rPr>
        <w:t>一</w:t>
      </w:r>
      <w:r>
        <w:rPr>
          <w:rFonts w:hint="eastAsia" w:ascii="仿宋_GB2312" w:hAnsi="仿宋_GB2312" w:eastAsia="仿宋_GB2312" w:cs="仿宋_GB2312"/>
          <w:color w:val="auto"/>
          <w:sz w:val="24"/>
          <w:szCs w:val="24"/>
          <w:highlight w:val="none"/>
        </w:rPr>
        <w:t xml:space="preserve"> 已标价工程量清单总表</w:t>
      </w:r>
    </w:p>
    <w:p>
      <w:pPr>
        <w:pageBreakBefore w:val="0"/>
        <w:kinsoku/>
        <w:wordWrap/>
        <w:overflowPunct/>
        <w:topLinePunct w:val="0"/>
        <w:bidi w:val="0"/>
        <w:adjustRightInd w:val="0"/>
        <w:snapToGrid w:val="0"/>
        <w:spacing w:line="360" w:lineRule="auto"/>
        <w:ind w:firstLine="486" w:firstLineChars="200"/>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附件</w:t>
      </w:r>
      <w:r>
        <w:rPr>
          <w:rFonts w:hint="eastAsia" w:ascii="仿宋_GB2312" w:hAnsi="仿宋_GB2312" w:eastAsia="仿宋_GB2312" w:cs="仿宋_GB2312"/>
          <w:color w:val="auto"/>
          <w:sz w:val="24"/>
          <w:szCs w:val="24"/>
          <w:highlight w:val="none"/>
          <w:lang w:val="en-US" w:eastAsia="zh-CN"/>
        </w:rPr>
        <w:t>二</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工程</w:t>
      </w:r>
      <w:r>
        <w:rPr>
          <w:rFonts w:hint="eastAsia" w:ascii="仿宋_GB2312" w:hAnsi="仿宋_GB2312" w:eastAsia="仿宋_GB2312" w:cs="仿宋_GB2312"/>
          <w:color w:val="auto"/>
          <w:sz w:val="24"/>
          <w:szCs w:val="24"/>
          <w:highlight w:val="none"/>
        </w:rPr>
        <w:t>承包人提供材料设备一览表</w:t>
      </w:r>
    </w:p>
    <w:p>
      <w:pPr>
        <w:pageBreakBefore w:val="0"/>
        <w:kinsoku/>
        <w:wordWrap/>
        <w:overflowPunct/>
        <w:topLinePunct w:val="0"/>
        <w:bidi w:val="0"/>
        <w:adjustRightInd w:val="0"/>
        <w:snapToGrid w:val="0"/>
        <w:spacing w:line="360" w:lineRule="auto"/>
        <w:ind w:firstLine="486" w:firstLineChars="200"/>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附件</w:t>
      </w:r>
      <w:r>
        <w:rPr>
          <w:rFonts w:hint="eastAsia" w:ascii="仿宋_GB2312" w:hAnsi="仿宋_GB2312" w:eastAsia="仿宋_GB2312" w:cs="仿宋_GB2312"/>
          <w:color w:val="auto"/>
          <w:sz w:val="24"/>
          <w:szCs w:val="24"/>
          <w:highlight w:val="none"/>
          <w:lang w:val="en-US" w:eastAsia="zh-CN"/>
        </w:rPr>
        <w:t>三</w:t>
      </w:r>
      <w:r>
        <w:rPr>
          <w:rFonts w:hint="eastAsia" w:ascii="仿宋_GB2312" w:hAnsi="仿宋_GB2312" w:eastAsia="仿宋_GB2312" w:cs="仿宋_GB2312"/>
          <w:color w:val="auto"/>
          <w:sz w:val="24"/>
          <w:szCs w:val="24"/>
          <w:highlight w:val="none"/>
        </w:rPr>
        <w:t xml:space="preserve"> 工程廉洁合同</w:t>
      </w:r>
    </w:p>
    <w:p>
      <w:pPr>
        <w:pageBreakBefore w:val="0"/>
        <w:kinsoku/>
        <w:wordWrap/>
        <w:overflowPunct/>
        <w:topLinePunct w:val="0"/>
        <w:bidi w:val="0"/>
        <w:adjustRightInd w:val="0"/>
        <w:snapToGrid w:val="0"/>
        <w:spacing w:line="360" w:lineRule="auto"/>
        <w:ind w:firstLine="486" w:firstLineChars="200"/>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附件</w:t>
      </w:r>
      <w:r>
        <w:rPr>
          <w:rFonts w:hint="eastAsia" w:ascii="仿宋_GB2312" w:hAnsi="仿宋_GB2312" w:eastAsia="仿宋_GB2312" w:cs="仿宋_GB2312"/>
          <w:color w:val="auto"/>
          <w:sz w:val="24"/>
          <w:szCs w:val="24"/>
          <w:highlight w:val="none"/>
          <w:lang w:val="en-US" w:eastAsia="zh-CN"/>
        </w:rPr>
        <w:t>四</w:t>
      </w:r>
      <w:r>
        <w:rPr>
          <w:rFonts w:hint="eastAsia" w:ascii="仿宋_GB2312" w:hAnsi="仿宋_GB2312" w:eastAsia="仿宋_GB2312" w:cs="仿宋_GB2312"/>
          <w:color w:val="auto"/>
          <w:sz w:val="24"/>
          <w:szCs w:val="24"/>
          <w:highlight w:val="none"/>
        </w:rPr>
        <w:t xml:space="preserve"> 安全生产管理合同</w:t>
      </w:r>
    </w:p>
    <w:p>
      <w:pPr>
        <w:pageBreakBefore w:val="0"/>
        <w:kinsoku/>
        <w:wordWrap/>
        <w:overflowPunct/>
        <w:topLinePunct w:val="0"/>
        <w:bidi w:val="0"/>
        <w:adjustRightInd w:val="0"/>
        <w:snapToGrid w:val="0"/>
        <w:spacing w:line="360" w:lineRule="auto"/>
        <w:ind w:firstLine="486" w:firstLineChars="200"/>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附件</w:t>
      </w:r>
      <w:r>
        <w:rPr>
          <w:rFonts w:hint="eastAsia" w:ascii="仿宋_GB2312" w:hAnsi="仿宋_GB2312" w:eastAsia="仿宋_GB2312" w:cs="仿宋_GB2312"/>
          <w:color w:val="auto"/>
          <w:sz w:val="24"/>
          <w:szCs w:val="24"/>
          <w:highlight w:val="none"/>
          <w:lang w:val="en-US" w:eastAsia="zh-CN"/>
        </w:rPr>
        <w:t>五</w:t>
      </w:r>
      <w:r>
        <w:rPr>
          <w:rFonts w:hint="eastAsia" w:ascii="仿宋_GB2312" w:hAnsi="仿宋_GB2312" w:eastAsia="仿宋_GB2312" w:cs="仿宋_GB2312"/>
          <w:color w:val="auto"/>
          <w:sz w:val="24"/>
          <w:szCs w:val="24"/>
          <w:highlight w:val="none"/>
        </w:rPr>
        <w:t xml:space="preserve"> 安全责任书</w:t>
      </w:r>
    </w:p>
    <w:p>
      <w:pPr>
        <w:pageBreakBefore w:val="0"/>
        <w:kinsoku/>
        <w:wordWrap/>
        <w:overflowPunct/>
        <w:topLinePunct w:val="0"/>
        <w:bidi w:val="0"/>
        <w:adjustRightInd w:val="0"/>
        <w:snapToGrid w:val="0"/>
        <w:spacing w:line="360" w:lineRule="auto"/>
        <w:ind w:firstLine="486" w:firstLineChars="200"/>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附件</w:t>
      </w:r>
      <w:r>
        <w:rPr>
          <w:rFonts w:hint="eastAsia" w:ascii="仿宋_GB2312" w:hAnsi="仿宋_GB2312" w:eastAsia="仿宋_GB2312" w:cs="仿宋_GB2312"/>
          <w:color w:val="auto"/>
          <w:sz w:val="24"/>
          <w:szCs w:val="24"/>
          <w:highlight w:val="none"/>
          <w:lang w:val="en-US" w:eastAsia="zh-CN"/>
        </w:rPr>
        <w:t>六</w:t>
      </w:r>
      <w:r>
        <w:rPr>
          <w:rFonts w:hint="eastAsia" w:ascii="仿宋_GB2312" w:hAnsi="仿宋_GB2312" w:eastAsia="仿宋_GB2312" w:cs="仿宋_GB2312"/>
          <w:color w:val="auto"/>
          <w:sz w:val="24"/>
          <w:szCs w:val="24"/>
          <w:highlight w:val="none"/>
        </w:rPr>
        <w:t xml:space="preserve"> 环境保护责任书</w:t>
      </w:r>
    </w:p>
    <w:p>
      <w:pPr>
        <w:pageBreakBefore w:val="0"/>
        <w:kinsoku/>
        <w:wordWrap/>
        <w:overflowPunct/>
        <w:topLinePunct w:val="0"/>
        <w:bidi w:val="0"/>
        <w:adjustRightInd w:val="0"/>
        <w:snapToGrid w:val="0"/>
        <w:spacing w:line="360" w:lineRule="auto"/>
        <w:ind w:firstLine="486" w:firstLineChars="200"/>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附件</w:t>
      </w:r>
      <w:r>
        <w:rPr>
          <w:rFonts w:hint="eastAsia" w:ascii="仿宋_GB2312" w:hAnsi="仿宋_GB2312" w:eastAsia="仿宋_GB2312" w:cs="仿宋_GB2312"/>
          <w:color w:val="auto"/>
          <w:sz w:val="24"/>
          <w:szCs w:val="24"/>
          <w:highlight w:val="none"/>
          <w:lang w:val="en-US" w:eastAsia="zh-CN"/>
        </w:rPr>
        <w:t>七</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关于农民工实名制管理的承诺函</w:t>
      </w:r>
    </w:p>
    <w:p>
      <w:pPr>
        <w:pageBreakBefore w:val="0"/>
        <w:kinsoku/>
        <w:wordWrap/>
        <w:overflowPunct/>
        <w:topLinePunct w:val="0"/>
        <w:bidi w:val="0"/>
        <w:adjustRightInd w:val="0"/>
        <w:snapToGrid w:val="0"/>
        <w:spacing w:line="360" w:lineRule="auto"/>
        <w:ind w:firstLine="486" w:firstLineChars="200"/>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附件</w:t>
      </w:r>
      <w:r>
        <w:rPr>
          <w:rFonts w:hint="eastAsia" w:ascii="仿宋_GB2312" w:hAnsi="仿宋_GB2312" w:eastAsia="仿宋_GB2312" w:cs="仿宋_GB2312"/>
          <w:color w:val="auto"/>
          <w:sz w:val="24"/>
          <w:szCs w:val="24"/>
          <w:highlight w:val="none"/>
          <w:lang w:val="en-US" w:eastAsia="zh-CN"/>
        </w:rPr>
        <w:t>八</w:t>
      </w:r>
      <w:r>
        <w:rPr>
          <w:rFonts w:hint="eastAsia" w:ascii="仿宋_GB2312" w:hAnsi="仿宋_GB2312" w:eastAsia="仿宋_GB2312" w:cs="仿宋_GB2312"/>
          <w:color w:val="auto"/>
          <w:sz w:val="24"/>
          <w:szCs w:val="24"/>
          <w:highlight w:val="none"/>
        </w:rPr>
        <w:t xml:space="preserve"> 质量保修书</w:t>
      </w:r>
    </w:p>
    <w:p>
      <w:pPr>
        <w:pageBreakBefore w:val="0"/>
        <w:kinsoku/>
        <w:wordWrap/>
        <w:overflowPunct/>
        <w:topLinePunct w:val="0"/>
        <w:bidi w:val="0"/>
        <w:adjustRightInd w:val="0"/>
        <w:snapToGrid w:val="0"/>
        <w:spacing w:line="360" w:lineRule="auto"/>
        <w:ind w:firstLine="486" w:firstLineChars="200"/>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附件</w:t>
      </w:r>
      <w:r>
        <w:rPr>
          <w:rFonts w:hint="eastAsia" w:ascii="仿宋_GB2312" w:hAnsi="仿宋_GB2312" w:eastAsia="仿宋_GB2312" w:cs="仿宋_GB2312"/>
          <w:color w:val="auto"/>
          <w:sz w:val="24"/>
          <w:szCs w:val="24"/>
          <w:highlight w:val="none"/>
          <w:lang w:val="en-US" w:eastAsia="zh-CN"/>
        </w:rPr>
        <w:t>九</w:t>
      </w:r>
      <w:r>
        <w:rPr>
          <w:rFonts w:hint="eastAsia" w:ascii="仿宋_GB2312" w:hAnsi="仿宋_GB2312" w:eastAsia="仿宋_GB2312" w:cs="仿宋_GB2312"/>
          <w:color w:val="auto"/>
          <w:sz w:val="24"/>
          <w:szCs w:val="24"/>
          <w:highlight w:val="none"/>
        </w:rPr>
        <w:t xml:space="preserve"> 社会治安综合治理责任书</w:t>
      </w:r>
    </w:p>
    <w:p>
      <w:pPr>
        <w:pageBreakBefore w:val="0"/>
        <w:kinsoku/>
        <w:wordWrap/>
        <w:overflowPunct/>
        <w:topLinePunct w:val="0"/>
        <w:bidi w:val="0"/>
        <w:adjustRightInd w:val="0"/>
        <w:snapToGrid w:val="0"/>
        <w:spacing w:line="360" w:lineRule="auto"/>
        <w:ind w:firstLine="486" w:firstLineChars="200"/>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 xml:space="preserve">附件十 </w:t>
      </w:r>
      <w:r>
        <w:rPr>
          <w:rFonts w:hint="eastAsia" w:ascii="仿宋_GB2312" w:hAnsi="仿宋_GB2312" w:eastAsia="仿宋_GB2312" w:cs="仿宋_GB2312"/>
          <w:color w:val="auto"/>
          <w:sz w:val="24"/>
          <w:szCs w:val="24"/>
          <w:highlight w:val="none"/>
        </w:rPr>
        <w:t>关于严禁采取停工、围堵等恶劣方式解决合同纠纷的承诺函</w:t>
      </w:r>
    </w:p>
    <w:p>
      <w:pPr>
        <w:pageBreakBefore w:val="0"/>
        <w:kinsoku/>
        <w:wordWrap/>
        <w:overflowPunct/>
        <w:topLinePunct w:val="0"/>
        <w:bidi w:val="0"/>
        <w:adjustRightInd w:val="0"/>
        <w:snapToGrid w:val="0"/>
        <w:spacing w:line="360" w:lineRule="auto"/>
        <w:ind w:firstLine="486" w:firstLineChars="200"/>
        <w:outlineLvl w:val="9"/>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附件十一 关于供应商恶意作废发票的告知函</w:t>
      </w:r>
    </w:p>
    <w:p>
      <w:pPr>
        <w:pageBreakBefore w:val="0"/>
        <w:kinsoku/>
        <w:wordWrap/>
        <w:overflowPunct/>
        <w:topLinePunct w:val="0"/>
        <w:bidi w:val="0"/>
        <w:adjustRightInd w:val="0"/>
        <w:snapToGrid w:val="0"/>
        <w:spacing w:line="360" w:lineRule="auto"/>
        <w:ind w:firstLine="486" w:firstLineChars="200"/>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附件十二  分包人</w:t>
      </w:r>
      <w:r>
        <w:rPr>
          <w:rFonts w:hint="eastAsia" w:ascii="仿宋_GB2312" w:hAnsi="仿宋_GB2312" w:eastAsia="仿宋_GB2312" w:cs="仿宋_GB2312"/>
          <w:color w:val="auto"/>
          <w:sz w:val="24"/>
          <w:szCs w:val="24"/>
          <w:highlight w:val="none"/>
        </w:rPr>
        <w:t>法定代表人身份证明</w:t>
      </w:r>
    </w:p>
    <w:p>
      <w:pPr>
        <w:pageBreakBefore w:val="0"/>
        <w:kinsoku/>
        <w:wordWrap/>
        <w:overflowPunct/>
        <w:topLinePunct w:val="0"/>
        <w:bidi w:val="0"/>
        <w:adjustRightInd w:val="0"/>
        <w:snapToGrid w:val="0"/>
        <w:spacing w:line="360" w:lineRule="auto"/>
        <w:ind w:firstLine="486" w:firstLineChars="200"/>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附件</w:t>
      </w:r>
      <w:r>
        <w:rPr>
          <w:rFonts w:hint="eastAsia" w:ascii="仿宋_GB2312" w:hAnsi="仿宋_GB2312" w:eastAsia="仿宋_GB2312" w:cs="仿宋_GB2312"/>
          <w:color w:val="auto"/>
          <w:sz w:val="24"/>
          <w:szCs w:val="24"/>
          <w:highlight w:val="none"/>
          <w:lang w:val="en-US" w:eastAsia="zh-CN"/>
        </w:rPr>
        <w:t>十三 授权委托书：项目经理（项目负责人）</w:t>
      </w:r>
    </w:p>
    <w:p>
      <w:pPr>
        <w:pageBreakBefore w:val="0"/>
        <w:kinsoku/>
        <w:wordWrap/>
        <w:overflowPunct/>
        <w:topLinePunct w:val="0"/>
        <w:bidi w:val="0"/>
        <w:adjustRightInd w:val="0"/>
        <w:snapToGrid w:val="0"/>
        <w:spacing w:line="360" w:lineRule="auto"/>
        <w:ind w:firstLine="486" w:firstLineChars="200"/>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附件</w:t>
      </w:r>
      <w:r>
        <w:rPr>
          <w:rFonts w:hint="eastAsia" w:ascii="仿宋_GB2312" w:hAnsi="仿宋_GB2312" w:eastAsia="仿宋_GB2312" w:cs="仿宋_GB2312"/>
          <w:color w:val="auto"/>
          <w:sz w:val="24"/>
          <w:szCs w:val="24"/>
          <w:highlight w:val="none"/>
          <w:lang w:val="en-US" w:eastAsia="zh-CN"/>
        </w:rPr>
        <w:t>十四 授权委托书：结算管理工作代表</w:t>
      </w:r>
    </w:p>
    <w:p>
      <w:pPr>
        <w:pageBreakBefore w:val="0"/>
        <w:kinsoku/>
        <w:wordWrap/>
        <w:overflowPunct/>
        <w:topLinePunct w:val="0"/>
        <w:bidi w:val="0"/>
        <w:adjustRightInd w:val="0"/>
        <w:snapToGrid w:val="0"/>
        <w:spacing w:line="360" w:lineRule="auto"/>
        <w:ind w:firstLine="486" w:firstLineChars="200"/>
        <w:outlineLvl w:val="9"/>
        <w:rPr>
          <w:rFonts w:hint="default"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rPr>
        <w:t>附件</w:t>
      </w:r>
      <w:r>
        <w:rPr>
          <w:rFonts w:hint="eastAsia" w:ascii="仿宋_GB2312" w:hAnsi="仿宋_GB2312" w:eastAsia="仿宋_GB2312" w:cs="仿宋_GB2312"/>
          <w:color w:val="auto"/>
          <w:sz w:val="24"/>
          <w:szCs w:val="24"/>
          <w:highlight w:val="none"/>
          <w:lang w:val="en-US" w:eastAsia="zh-CN"/>
        </w:rPr>
        <w:t>十五 授权委托书：专职安全员</w:t>
      </w:r>
    </w:p>
    <w:p>
      <w:pPr>
        <w:pageBreakBefore w:val="0"/>
        <w:kinsoku/>
        <w:wordWrap/>
        <w:overflowPunct/>
        <w:topLinePunct w:val="0"/>
        <w:bidi w:val="0"/>
        <w:adjustRightInd w:val="0"/>
        <w:snapToGrid w:val="0"/>
        <w:spacing w:line="360" w:lineRule="auto"/>
        <w:ind w:firstLine="486" w:firstLineChars="200"/>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附件</w:t>
      </w:r>
      <w:r>
        <w:rPr>
          <w:rFonts w:hint="eastAsia" w:ascii="仿宋_GB2312" w:hAnsi="仿宋_GB2312" w:eastAsia="仿宋_GB2312" w:cs="仿宋_GB2312"/>
          <w:color w:val="auto"/>
          <w:sz w:val="24"/>
          <w:szCs w:val="24"/>
          <w:highlight w:val="none"/>
          <w:lang w:val="en-US" w:eastAsia="zh-CN"/>
        </w:rPr>
        <w:t>十六 农民工工资委托代发协议</w:t>
      </w:r>
    </w:p>
    <w:p>
      <w:pPr>
        <w:pageBreakBefore w:val="0"/>
        <w:kinsoku/>
        <w:wordWrap/>
        <w:overflowPunct/>
        <w:topLinePunct w:val="0"/>
        <w:bidi w:val="0"/>
        <w:adjustRightInd w:val="0"/>
        <w:snapToGrid w:val="0"/>
        <w:spacing w:line="360" w:lineRule="auto"/>
        <w:ind w:firstLine="486" w:firstLineChars="200"/>
        <w:outlineLvl w:val="9"/>
        <w:rPr>
          <w:rFonts w:hint="default"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rPr>
        <w:t>附件</w:t>
      </w:r>
      <w:r>
        <w:rPr>
          <w:rFonts w:hint="eastAsia" w:ascii="仿宋_GB2312" w:hAnsi="仿宋_GB2312" w:eastAsia="仿宋_GB2312" w:cs="仿宋_GB2312"/>
          <w:color w:val="auto"/>
          <w:sz w:val="24"/>
          <w:szCs w:val="24"/>
          <w:highlight w:val="none"/>
          <w:lang w:val="en-US" w:eastAsia="zh-CN"/>
        </w:rPr>
        <w:t>十七 告知书</w:t>
      </w:r>
    </w:p>
    <w:p>
      <w:pPr>
        <w:pStyle w:val="50"/>
        <w:keepNext w:val="0"/>
        <w:keepLines w:val="0"/>
        <w:pageBreakBefore w:val="0"/>
        <w:widowControl w:val="0"/>
        <w:shd w:val="clear" w:color="auto" w:fill="auto"/>
        <w:kinsoku/>
        <w:wordWrap/>
        <w:overflowPunct/>
        <w:topLinePunct w:val="0"/>
        <w:bidi w:val="0"/>
        <w:spacing w:before="0" w:after="580" w:line="360" w:lineRule="auto"/>
        <w:ind w:left="0" w:right="0" w:firstLine="0"/>
        <w:jc w:val="left"/>
        <w:outlineLvl w:val="9"/>
        <w:rPr>
          <w:rFonts w:hint="eastAsia" w:ascii="仿宋_GB2312" w:hAnsi="仿宋_GB2312" w:eastAsia="仿宋_GB2312" w:cs="仿宋_GB2312"/>
          <w:b/>
          <w:bCs/>
          <w:color w:val="auto"/>
          <w:sz w:val="24"/>
          <w:szCs w:val="24"/>
          <w:highlight w:val="none"/>
          <w:lang w:val="en-US" w:eastAsia="zh-CN"/>
        </w:rPr>
      </w:pPr>
    </w:p>
    <w:p>
      <w:pPr>
        <w:pageBreakBefore w:val="0"/>
        <w:kinsoku/>
        <w:wordWrap/>
        <w:overflowPunct/>
        <w:topLinePunct w:val="0"/>
        <w:bidi w:val="0"/>
        <w:spacing w:line="360" w:lineRule="auto"/>
        <w:jc w:val="center"/>
        <w:rPr>
          <w:rFonts w:hint="eastAsia" w:ascii="仿宋_GB2312" w:hAnsi="仿宋_GB2312" w:eastAsia="仿宋_GB2312" w:cs="仿宋_GB2312"/>
          <w:b/>
          <w:bCs/>
          <w:color w:val="auto"/>
          <w:sz w:val="28"/>
          <w:szCs w:val="28"/>
          <w:highlight w:val="none"/>
        </w:rPr>
      </w:pPr>
    </w:p>
    <w:p>
      <w:pPr>
        <w:pageBreakBefore w:val="0"/>
        <w:kinsoku/>
        <w:wordWrap/>
        <w:overflowPunct/>
        <w:topLinePunct w:val="0"/>
        <w:bidi w:val="0"/>
        <w:adjustRightInd w:val="0"/>
        <w:snapToGrid w:val="0"/>
        <w:spacing w:line="360" w:lineRule="auto"/>
        <w:ind w:firstLine="426" w:firstLineChars="200"/>
        <w:outlineLvl w:val="9"/>
        <w:rPr>
          <w:rFonts w:hint="eastAsia" w:ascii="仿宋_GB2312" w:hAnsi="仿宋_GB2312" w:eastAsia="仿宋_GB2312" w:cs="仿宋_GB2312"/>
          <w:color w:val="auto"/>
          <w:szCs w:val="21"/>
          <w:highlight w:val="none"/>
        </w:rPr>
      </w:pPr>
    </w:p>
    <w:p>
      <w:pPr>
        <w:pageBreakBefore w:val="0"/>
        <w:kinsoku/>
        <w:wordWrap/>
        <w:overflowPunct/>
        <w:topLinePunct w:val="0"/>
        <w:bidi w:val="0"/>
        <w:spacing w:line="360" w:lineRule="auto"/>
        <w:rPr>
          <w:rFonts w:hint="eastAsia" w:ascii="仿宋_GB2312" w:hAnsi="仿宋_GB2312" w:eastAsia="仿宋_GB2312" w:cs="仿宋_GB2312"/>
          <w:color w:val="auto"/>
          <w:highlight w:val="none"/>
        </w:rPr>
      </w:pPr>
    </w:p>
    <w:p>
      <w:pPr>
        <w:pageBreakBefore w:val="0"/>
        <w:widowControl/>
        <w:kinsoku/>
        <w:wordWrap/>
        <w:overflowPunct/>
        <w:topLinePunct w:val="0"/>
        <w:bidi w:val="0"/>
        <w:spacing w:line="360" w:lineRule="auto"/>
        <w:jc w:val="left"/>
        <w:outlineLvl w:val="9"/>
        <w:rPr>
          <w:rFonts w:hint="eastAsia" w:ascii="仿宋_GB2312" w:hAnsi="仿宋_GB2312" w:eastAsia="仿宋_GB2312" w:cs="仿宋_GB2312"/>
          <w:b/>
          <w:bCs/>
          <w:color w:val="auto"/>
          <w:szCs w:val="21"/>
          <w:highlight w:val="none"/>
        </w:rPr>
        <w:sectPr>
          <w:footerReference r:id="rId21" w:type="default"/>
          <w:pgSz w:w="11906" w:h="16838"/>
          <w:pgMar w:top="1440" w:right="1134" w:bottom="1440" w:left="1134" w:header="1134" w:footer="1134" w:gutter="0"/>
          <w:pgBorders>
            <w:top w:val="none" w:sz="0" w:space="0"/>
            <w:left w:val="none" w:sz="0" w:space="0"/>
            <w:bottom w:val="none" w:sz="0" w:space="0"/>
            <w:right w:val="none" w:sz="0" w:space="0"/>
          </w:pgBorders>
          <w:pgNumType w:fmt="decimal"/>
          <w:cols w:space="720" w:num="1"/>
          <w:rtlGutter w:val="0"/>
          <w:docGrid w:type="linesAndChars" w:linePitch="319" w:charSpace="640"/>
        </w:sectPr>
      </w:pPr>
      <w:bookmarkStart w:id="907" w:name="_Toc5847"/>
      <w:bookmarkStart w:id="908" w:name="_Toc522_WPSOffice_Level1"/>
      <w:bookmarkStart w:id="909" w:name="_Toc14147_WPSOffice_Level1"/>
      <w:bookmarkStart w:id="910" w:name="_Toc31345"/>
      <w:bookmarkStart w:id="911" w:name="_Toc11876"/>
    </w:p>
    <w:bookmarkEnd w:id="907"/>
    <w:bookmarkEnd w:id="908"/>
    <w:bookmarkEnd w:id="909"/>
    <w:bookmarkEnd w:id="910"/>
    <w:bookmarkEnd w:id="911"/>
    <w:p>
      <w:pPr>
        <w:pStyle w:val="4"/>
        <w:bidi w:val="0"/>
        <w:outlineLvl w:val="1"/>
        <w:rPr>
          <w:rFonts w:hint="eastAsia" w:ascii="仿宋_GB2312" w:hAnsi="仿宋_GB2312" w:eastAsia="仿宋_GB2312" w:cs="仿宋_GB2312"/>
          <w:b/>
          <w:bCs w:val="0"/>
          <w:color w:val="auto"/>
          <w:sz w:val="24"/>
          <w:szCs w:val="24"/>
          <w:highlight w:val="none"/>
        </w:rPr>
      </w:pPr>
      <w:bookmarkStart w:id="912" w:name="_Toc349"/>
      <w:bookmarkStart w:id="913" w:name="_Toc15699"/>
      <w:bookmarkStart w:id="914" w:name="_Toc23368"/>
      <w:bookmarkStart w:id="915" w:name="_Toc11474"/>
      <w:bookmarkStart w:id="916" w:name="_Toc14732"/>
      <w:bookmarkStart w:id="917" w:name="_Toc37"/>
      <w:bookmarkStart w:id="918" w:name="_Toc16795"/>
      <w:r>
        <w:rPr>
          <w:rFonts w:hint="eastAsia" w:ascii="仿宋_GB2312" w:hAnsi="仿宋_GB2312" w:eastAsia="仿宋_GB2312" w:cs="仿宋_GB2312"/>
          <w:b/>
          <w:bCs w:val="0"/>
          <w:color w:val="auto"/>
          <w:sz w:val="24"/>
          <w:szCs w:val="24"/>
          <w:highlight w:val="none"/>
        </w:rPr>
        <w:t>附件</w:t>
      </w:r>
      <w:r>
        <w:rPr>
          <w:rFonts w:hint="eastAsia" w:ascii="仿宋_GB2312" w:hAnsi="仿宋_GB2312" w:eastAsia="仿宋_GB2312" w:cs="仿宋_GB2312"/>
          <w:b/>
          <w:bCs w:val="0"/>
          <w:color w:val="auto"/>
          <w:sz w:val="24"/>
          <w:szCs w:val="24"/>
          <w:highlight w:val="none"/>
          <w:lang w:val="en-US" w:eastAsia="zh-CN"/>
        </w:rPr>
        <w:t>一</w:t>
      </w:r>
      <w:r>
        <w:rPr>
          <w:rFonts w:hint="eastAsia" w:ascii="仿宋_GB2312" w:hAnsi="仿宋_GB2312" w:eastAsia="仿宋_GB2312" w:cs="仿宋_GB2312"/>
          <w:b/>
          <w:bCs w:val="0"/>
          <w:color w:val="auto"/>
          <w:sz w:val="24"/>
          <w:szCs w:val="24"/>
          <w:highlight w:val="none"/>
        </w:rPr>
        <w:t xml:space="preserve"> 已标价工程量清单总表</w:t>
      </w:r>
      <w:bookmarkEnd w:id="912"/>
      <w:bookmarkEnd w:id="913"/>
      <w:bookmarkEnd w:id="914"/>
      <w:bookmarkEnd w:id="915"/>
    </w:p>
    <w:p>
      <w:pPr>
        <w:adjustRightInd w:val="0"/>
        <w:snapToGrid w:val="0"/>
        <w:spacing w:line="570" w:lineRule="exact"/>
        <w:jc w:val="center"/>
        <w:outlineLvl w:val="9"/>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已标价工程量清单总表</w:t>
      </w:r>
    </w:p>
    <w:tbl>
      <w:tblPr>
        <w:tblStyle w:val="24"/>
        <w:tblpPr w:leftFromText="180" w:rightFromText="180" w:vertAnchor="text" w:horzAnchor="page" w:tblpX="864" w:tblpY="576"/>
        <w:tblOverlap w:val="never"/>
        <w:tblW w:w="15583" w:type="dxa"/>
        <w:tblInd w:w="0" w:type="dxa"/>
        <w:shd w:val="clear" w:color="auto" w:fill="auto"/>
        <w:tblLayout w:type="fixed"/>
        <w:tblCellMar>
          <w:top w:w="0" w:type="dxa"/>
          <w:left w:w="108" w:type="dxa"/>
          <w:bottom w:w="0" w:type="dxa"/>
          <w:right w:w="108" w:type="dxa"/>
        </w:tblCellMar>
      </w:tblPr>
      <w:tblGrid>
        <w:gridCol w:w="818"/>
        <w:gridCol w:w="897"/>
        <w:gridCol w:w="471"/>
        <w:gridCol w:w="542"/>
        <w:gridCol w:w="682"/>
        <w:gridCol w:w="1864"/>
        <w:gridCol w:w="412"/>
        <w:gridCol w:w="440"/>
        <w:gridCol w:w="682"/>
        <w:gridCol w:w="1142"/>
        <w:gridCol w:w="853"/>
        <w:gridCol w:w="647"/>
        <w:gridCol w:w="383"/>
        <w:gridCol w:w="897"/>
        <w:gridCol w:w="412"/>
        <w:gridCol w:w="744"/>
        <w:gridCol w:w="682"/>
        <w:gridCol w:w="882"/>
        <w:gridCol w:w="1162"/>
        <w:gridCol w:w="971"/>
      </w:tblGrid>
      <w:tr>
        <w:tblPrEx>
          <w:shd w:val="clear" w:color="auto" w:fill="auto"/>
          <w:tblCellMar>
            <w:top w:w="0" w:type="dxa"/>
            <w:left w:w="108" w:type="dxa"/>
            <w:bottom w:w="0" w:type="dxa"/>
            <w:right w:w="108" w:type="dxa"/>
          </w:tblCellMar>
        </w:tblPrEx>
        <w:trPr>
          <w:trHeight w:val="312" w:hRule="atLeast"/>
        </w:trPr>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序号</w:t>
            </w:r>
          </w:p>
        </w:tc>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标准清单编号/子目号</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分项工程名称</w:t>
            </w:r>
          </w:p>
        </w:tc>
        <w:tc>
          <w:tcPr>
            <w:tcW w:w="5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单位</w:t>
            </w:r>
          </w:p>
        </w:tc>
        <w:tc>
          <w:tcPr>
            <w:tcW w:w="295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工作内容、材料设备供应及计量规则</w:t>
            </w:r>
          </w:p>
        </w:tc>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工程量（暂估）</w:t>
            </w:r>
          </w:p>
        </w:tc>
        <w:tc>
          <w:tcPr>
            <w:tcW w:w="4604"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合同单价（元）</w:t>
            </w:r>
          </w:p>
        </w:tc>
        <w:tc>
          <w:tcPr>
            <w:tcW w:w="3882"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合同合价（元）</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312"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29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4604"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388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312"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29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4604"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388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325"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工作内容</w:t>
            </w:r>
          </w:p>
        </w:tc>
        <w:tc>
          <w:tcPr>
            <w:tcW w:w="1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材料设备供应及品牌</w:t>
            </w:r>
          </w:p>
        </w:tc>
        <w:tc>
          <w:tcPr>
            <w:tcW w:w="4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计量规则</w:t>
            </w: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1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不含税</w:t>
            </w:r>
          </w:p>
        </w:tc>
        <w:tc>
          <w:tcPr>
            <w:tcW w:w="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增值税税率（%</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增值税税款</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价税合计</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不含税</w:t>
            </w: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增值税税款</w:t>
            </w:r>
          </w:p>
        </w:tc>
        <w:tc>
          <w:tcPr>
            <w:tcW w:w="20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价税合计</w:t>
            </w: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1270"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auto"/>
                <w:sz w:val="21"/>
                <w:szCs w:val="21"/>
                <w:highlight w:val="none"/>
                <w:u w:val="none"/>
              </w:rPr>
            </w:pPr>
          </w:p>
        </w:tc>
        <w:tc>
          <w:tcPr>
            <w:tcW w:w="1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auto"/>
                <w:sz w:val="21"/>
                <w:szCs w:val="21"/>
                <w:highlight w:val="none"/>
                <w:u w:val="none"/>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单价</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其中人工费单价</w:t>
            </w: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单价</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其中人工费单价</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合价</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其中人工费合价</w:t>
            </w: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合价</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其中人工费合价</w:t>
            </w: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1047" w:hRule="atLeast"/>
        </w:trPr>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5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1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eastAsia="仿宋_GB2312" w:cs="仿宋_GB2312"/>
                <w:i w:val="0"/>
                <w:iCs w:val="0"/>
                <w:color w:val="auto"/>
                <w:kern w:val="0"/>
                <w:sz w:val="21"/>
                <w:szCs w:val="21"/>
                <w:highlight w:val="none"/>
                <w:u w:val="none"/>
                <w:lang w:val="en-US" w:eastAsia="zh-CN" w:bidi="ar"/>
              </w:rPr>
              <w:t>1、承包人提供材料：不提供</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eastAsia="仿宋_GB2312" w:cs="仿宋_GB2312"/>
                <w:i w:val="0"/>
                <w:iCs w:val="0"/>
                <w:color w:val="auto"/>
                <w:kern w:val="0"/>
                <w:sz w:val="21"/>
                <w:szCs w:val="21"/>
                <w:highlight w:val="none"/>
                <w:u w:val="none"/>
                <w:lang w:val="en-US" w:eastAsia="zh-CN" w:bidi="ar"/>
              </w:rPr>
              <w:t>承包人提供机械：不提供</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eastAsia="仿宋_GB2312" w:cs="仿宋_GB2312"/>
                <w:i w:val="0"/>
                <w:iCs w:val="0"/>
                <w:color w:val="auto"/>
                <w:kern w:val="0"/>
                <w:sz w:val="21"/>
                <w:szCs w:val="21"/>
                <w:highlight w:val="none"/>
                <w:u w:val="none"/>
                <w:lang w:val="en-US" w:eastAsia="zh-CN" w:bidi="ar"/>
              </w:rPr>
              <w:t xml:space="preserve">2、分包人提供材料及品牌：    </w:t>
            </w:r>
          </w:p>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分包人提供机械：</w:t>
            </w:r>
          </w:p>
        </w:tc>
        <w:tc>
          <w:tcPr>
            <w:tcW w:w="4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3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4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8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312"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1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auto"/>
                <w:sz w:val="21"/>
                <w:szCs w:val="21"/>
                <w:highlight w:val="none"/>
                <w:u w:val="none"/>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312"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1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auto"/>
                <w:sz w:val="21"/>
                <w:szCs w:val="21"/>
                <w:highlight w:val="none"/>
                <w:u w:val="none"/>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312"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1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auto"/>
                <w:sz w:val="21"/>
                <w:szCs w:val="21"/>
                <w:highlight w:val="none"/>
                <w:u w:val="none"/>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r>
      <w:tr>
        <w:tblPrEx>
          <w:tblCellMar>
            <w:top w:w="0" w:type="dxa"/>
            <w:left w:w="108" w:type="dxa"/>
            <w:bottom w:w="0" w:type="dxa"/>
            <w:right w:w="108" w:type="dxa"/>
          </w:tblCellMar>
        </w:tblPrEx>
        <w:trPr>
          <w:trHeight w:val="438"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1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auto"/>
                <w:sz w:val="21"/>
                <w:szCs w:val="21"/>
                <w:highlight w:val="none"/>
                <w:u w:val="none"/>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r>
      <w:tr>
        <w:tblPrEx>
          <w:tblCellMar>
            <w:top w:w="0" w:type="dxa"/>
            <w:left w:w="108" w:type="dxa"/>
            <w:bottom w:w="0" w:type="dxa"/>
            <w:right w:w="108" w:type="dxa"/>
          </w:tblCellMar>
        </w:tblPrEx>
        <w:trPr>
          <w:trHeight w:val="325"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r>
      <w:tr>
        <w:tblPrEx>
          <w:tblCellMar>
            <w:top w:w="0" w:type="dxa"/>
            <w:left w:w="108" w:type="dxa"/>
            <w:bottom w:w="0" w:type="dxa"/>
            <w:right w:w="108" w:type="dxa"/>
          </w:tblCellMar>
        </w:tblPrEx>
        <w:trPr>
          <w:trHeight w:val="325"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1"/>
                <w:szCs w:val="21"/>
                <w:highlight w:val="none"/>
                <w:u w:val="none"/>
              </w:rPr>
            </w:pPr>
            <w:r>
              <w:rPr>
                <w:rFonts w:hint="eastAsia" w:ascii="仿宋_GB2312" w:hAnsi="宋体" w:eastAsia="仿宋_GB2312" w:cs="仿宋_GB2312"/>
                <w:b/>
                <w:bCs/>
                <w:i w:val="0"/>
                <w:iCs w:val="0"/>
                <w:color w:val="auto"/>
                <w:kern w:val="0"/>
                <w:sz w:val="21"/>
                <w:szCs w:val="21"/>
                <w:highlight w:val="none"/>
                <w:u w:val="none"/>
                <w:lang w:val="en-US" w:eastAsia="zh-CN" w:bidi="ar"/>
              </w:rPr>
              <w:t>合计：</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auto"/>
                <w:sz w:val="21"/>
                <w:szCs w:val="21"/>
                <w:highlight w:val="none"/>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auto"/>
                <w:sz w:val="21"/>
                <w:szCs w:val="21"/>
                <w:highlight w:val="none"/>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auto"/>
                <w:sz w:val="21"/>
                <w:szCs w:val="21"/>
                <w:highlight w:val="none"/>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auto"/>
                <w:sz w:val="21"/>
                <w:szCs w:val="21"/>
                <w:highlight w:val="none"/>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auto"/>
                <w:sz w:val="21"/>
                <w:szCs w:val="21"/>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auto"/>
                <w:sz w:val="21"/>
                <w:szCs w:val="21"/>
                <w:highlight w:val="none"/>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auto"/>
                <w:sz w:val="21"/>
                <w:szCs w:val="21"/>
                <w:highlight w:val="none"/>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auto"/>
                <w:sz w:val="21"/>
                <w:szCs w:val="21"/>
                <w:highlight w:val="none"/>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auto"/>
                <w:sz w:val="21"/>
                <w:szCs w:val="21"/>
                <w:highlight w:val="none"/>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auto"/>
                <w:sz w:val="21"/>
                <w:szCs w:val="21"/>
                <w:highlight w:val="none"/>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auto"/>
                <w:sz w:val="21"/>
                <w:szCs w:val="21"/>
                <w:highlight w:val="none"/>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auto"/>
                <w:sz w:val="21"/>
                <w:szCs w:val="21"/>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auto"/>
                <w:sz w:val="21"/>
                <w:szCs w:val="21"/>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auto"/>
                <w:sz w:val="21"/>
                <w:szCs w:val="21"/>
                <w:highlight w:val="none"/>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auto"/>
                <w:sz w:val="21"/>
                <w:szCs w:val="21"/>
                <w:highlight w:val="none"/>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auto"/>
                <w:sz w:val="21"/>
                <w:szCs w:val="21"/>
                <w:highlight w:val="none"/>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auto"/>
                <w:sz w:val="21"/>
                <w:szCs w:val="21"/>
                <w:highlight w:val="none"/>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auto"/>
                <w:sz w:val="21"/>
                <w:szCs w:val="21"/>
                <w:highlight w:val="none"/>
                <w:u w:val="none"/>
              </w:rPr>
            </w:pPr>
          </w:p>
        </w:tc>
      </w:tr>
      <w:tr>
        <w:tblPrEx>
          <w:tblCellMar>
            <w:top w:w="0" w:type="dxa"/>
            <w:left w:w="108" w:type="dxa"/>
            <w:bottom w:w="0" w:type="dxa"/>
            <w:right w:w="108" w:type="dxa"/>
          </w:tblCellMar>
        </w:tblPrEx>
        <w:trPr>
          <w:trHeight w:val="325" w:hRule="atLeast"/>
        </w:trPr>
        <w:tc>
          <w:tcPr>
            <w:tcW w:w="15583"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合计金额大写（不含税）：</w:t>
            </w:r>
          </w:p>
        </w:tc>
      </w:tr>
      <w:tr>
        <w:tblPrEx>
          <w:tblCellMar>
            <w:top w:w="0" w:type="dxa"/>
            <w:left w:w="108" w:type="dxa"/>
            <w:bottom w:w="0" w:type="dxa"/>
            <w:right w:w="108" w:type="dxa"/>
          </w:tblCellMar>
        </w:tblPrEx>
        <w:trPr>
          <w:trHeight w:val="325" w:hRule="atLeast"/>
        </w:trPr>
        <w:tc>
          <w:tcPr>
            <w:tcW w:w="15583"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合计金额大写（价税合计）：</w:t>
            </w:r>
          </w:p>
        </w:tc>
      </w:tr>
      <w:tr>
        <w:tblPrEx>
          <w:shd w:val="clear" w:color="auto" w:fill="auto"/>
          <w:tblCellMar>
            <w:top w:w="0" w:type="dxa"/>
            <w:left w:w="108" w:type="dxa"/>
            <w:bottom w:w="0" w:type="dxa"/>
            <w:right w:w="108" w:type="dxa"/>
          </w:tblCellMar>
        </w:tblPrEx>
        <w:trPr>
          <w:trHeight w:val="325" w:hRule="atLeast"/>
        </w:trPr>
        <w:tc>
          <w:tcPr>
            <w:tcW w:w="15583"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其中：安全生产施工费占合同总金额的</w:t>
            </w:r>
            <w:r>
              <w:rPr>
                <w:rStyle w:val="55"/>
                <w:rFonts w:hAnsi="宋体"/>
                <w:color w:val="auto"/>
                <w:highlight w:val="none"/>
                <w:lang w:val="en-US" w:eastAsia="zh-CN" w:bidi="ar"/>
              </w:rPr>
              <w:t xml:space="preserve">     </w:t>
            </w:r>
            <w:r>
              <w:rPr>
                <w:rFonts w:hint="eastAsia" w:ascii="仿宋_GB2312" w:hAnsi="宋体" w:eastAsia="仿宋_GB2312" w:cs="仿宋_GB2312"/>
                <w:i w:val="0"/>
                <w:iCs w:val="0"/>
                <w:color w:val="auto"/>
                <w:kern w:val="0"/>
                <w:sz w:val="21"/>
                <w:szCs w:val="21"/>
                <w:highlight w:val="none"/>
                <w:u w:val="none"/>
                <w:lang w:val="en-US" w:eastAsia="zh-CN" w:bidi="ar"/>
              </w:rPr>
              <w:t>%，含税总额为</w:t>
            </w:r>
            <w:r>
              <w:rPr>
                <w:rStyle w:val="55"/>
                <w:rFonts w:hAnsi="宋体"/>
                <w:color w:val="auto"/>
                <w:highlight w:val="none"/>
                <w:lang w:val="en-US" w:eastAsia="zh-CN" w:bidi="ar"/>
              </w:rPr>
              <w:t xml:space="preserve">    </w:t>
            </w:r>
            <w:r>
              <w:rPr>
                <w:rFonts w:hint="eastAsia" w:ascii="仿宋_GB2312" w:hAnsi="宋体" w:eastAsia="仿宋_GB2312" w:cs="仿宋_GB2312"/>
                <w:i w:val="0"/>
                <w:iCs w:val="0"/>
                <w:color w:val="auto"/>
                <w:kern w:val="0"/>
                <w:sz w:val="21"/>
                <w:szCs w:val="21"/>
                <w:highlight w:val="none"/>
                <w:u w:val="none"/>
                <w:lang w:val="en-US" w:eastAsia="zh-CN" w:bidi="ar"/>
              </w:rPr>
              <w:t>元</w:t>
            </w:r>
          </w:p>
        </w:tc>
      </w:tr>
      <w:tr>
        <w:tblPrEx>
          <w:tblCellMar>
            <w:top w:w="0" w:type="dxa"/>
            <w:left w:w="108" w:type="dxa"/>
            <w:bottom w:w="0" w:type="dxa"/>
            <w:right w:w="108" w:type="dxa"/>
          </w:tblCellMar>
        </w:tblPrEx>
        <w:trPr>
          <w:trHeight w:val="335" w:hRule="atLeast"/>
        </w:trPr>
        <w:tc>
          <w:tcPr>
            <w:tcW w:w="15583"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备注：上表中数量、合价、合计金额均为暂估，</w:t>
            </w:r>
            <w:r>
              <w:rPr>
                <w:rStyle w:val="54"/>
                <w:rFonts w:hAnsi="宋体"/>
                <w:color w:val="auto"/>
                <w:highlight w:val="none"/>
                <w:u w:val="none"/>
                <w:lang w:val="en-US" w:eastAsia="zh-CN" w:bidi="ar"/>
              </w:rPr>
              <w:t>不包含劳保用品费用。</w:t>
            </w:r>
          </w:p>
        </w:tc>
      </w:tr>
    </w:tbl>
    <w:p>
      <w:pPr>
        <w:pStyle w:val="11"/>
        <w:rPr>
          <w:rFonts w:hint="eastAsia"/>
          <w:color w:val="auto"/>
          <w:highlight w:val="none"/>
        </w:rPr>
        <w:sectPr>
          <w:pgSz w:w="16838" w:h="11906" w:orient="landscape"/>
          <w:pgMar w:top="1440" w:right="1797" w:bottom="1440" w:left="1797" w:header="1134" w:footer="1134" w:gutter="0"/>
          <w:pgBorders>
            <w:top w:val="none" w:sz="0" w:space="0"/>
            <w:left w:val="none" w:sz="0" w:space="0"/>
            <w:bottom w:val="none" w:sz="0" w:space="0"/>
            <w:right w:val="none" w:sz="0" w:space="0"/>
          </w:pgBorders>
          <w:pgNumType w:fmt="decimal"/>
          <w:cols w:space="720" w:num="1"/>
          <w:docGrid w:type="linesAndChars" w:linePitch="319" w:charSpace="640"/>
        </w:sectPr>
      </w:pPr>
    </w:p>
    <w:p>
      <w:pPr>
        <w:pStyle w:val="28"/>
        <w:bidi w:val="0"/>
        <w:outlineLvl w:val="1"/>
        <w:rPr>
          <w:rFonts w:hint="eastAsia"/>
          <w:color w:val="auto"/>
          <w:highlight w:val="none"/>
        </w:rPr>
      </w:pPr>
      <w:bookmarkStart w:id="919" w:name="_Toc13280"/>
      <w:bookmarkStart w:id="920" w:name="_Toc19786"/>
      <w:r>
        <w:rPr>
          <w:rFonts w:hint="eastAsia"/>
          <w:color w:val="auto"/>
          <w:highlight w:val="none"/>
        </w:rPr>
        <w:t>附件</w:t>
      </w:r>
      <w:bookmarkStart w:id="921" w:name="_Toc12613_WPSOffice_Level1"/>
      <w:bookmarkStart w:id="922" w:name="_Toc28562_WPSOffice_Level1"/>
      <w:r>
        <w:rPr>
          <w:rFonts w:hint="eastAsia"/>
          <w:color w:val="auto"/>
          <w:highlight w:val="none"/>
          <w:lang w:val="en-US" w:eastAsia="zh-CN"/>
        </w:rPr>
        <w:t>二</w:t>
      </w:r>
      <w:r>
        <w:rPr>
          <w:rFonts w:hint="eastAsia"/>
          <w:color w:val="auto"/>
          <w:highlight w:val="none"/>
        </w:rPr>
        <w:t xml:space="preserve"> </w:t>
      </w:r>
      <w:bookmarkEnd w:id="916"/>
      <w:bookmarkEnd w:id="921"/>
      <w:bookmarkEnd w:id="922"/>
      <w:r>
        <w:rPr>
          <w:rFonts w:hint="eastAsia"/>
          <w:color w:val="auto"/>
          <w:highlight w:val="none"/>
          <w:lang w:val="en-US" w:eastAsia="zh-CN"/>
        </w:rPr>
        <w:t>工程</w:t>
      </w:r>
      <w:r>
        <w:rPr>
          <w:rFonts w:hint="eastAsia"/>
          <w:color w:val="auto"/>
          <w:highlight w:val="none"/>
        </w:rPr>
        <w:t>承包人提供材料设备一览表</w:t>
      </w:r>
      <w:bookmarkEnd w:id="917"/>
      <w:bookmarkEnd w:id="918"/>
      <w:bookmarkEnd w:id="919"/>
      <w:bookmarkEnd w:id="920"/>
    </w:p>
    <w:p>
      <w:pPr>
        <w:pageBreakBefore w:val="0"/>
        <w:kinsoku/>
        <w:wordWrap/>
        <w:overflowPunct/>
        <w:topLinePunct w:val="0"/>
        <w:bidi w:val="0"/>
        <w:adjustRightInd w:val="0"/>
        <w:snapToGrid w:val="0"/>
        <w:spacing w:line="360" w:lineRule="auto"/>
        <w:ind w:firstLine="643" w:firstLineChars="200"/>
        <w:jc w:val="center"/>
        <w:rPr>
          <w:rFonts w:hint="eastAsia" w:ascii="仿宋_GB2312" w:hAnsi="仿宋_GB2312" w:eastAsia="仿宋_GB2312" w:cs="仿宋_GB2312"/>
          <w:b/>
          <w:bCs/>
          <w:color w:val="auto"/>
          <w:sz w:val="32"/>
          <w:szCs w:val="32"/>
          <w:highlight w:val="none"/>
        </w:rPr>
      </w:pPr>
    </w:p>
    <w:p>
      <w:pPr>
        <w:pageBreakBefore w:val="0"/>
        <w:kinsoku/>
        <w:wordWrap/>
        <w:overflowPunct/>
        <w:topLinePunct w:val="0"/>
        <w:bidi w:val="0"/>
        <w:adjustRightInd w:val="0"/>
        <w:snapToGrid w:val="0"/>
        <w:spacing w:line="360" w:lineRule="auto"/>
        <w:ind w:firstLine="643" w:firstLineChars="200"/>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工程</w:t>
      </w:r>
      <w:r>
        <w:rPr>
          <w:rFonts w:hint="eastAsia" w:ascii="仿宋_GB2312" w:hAnsi="仿宋_GB2312" w:eastAsia="仿宋_GB2312" w:cs="仿宋_GB2312"/>
          <w:b/>
          <w:bCs/>
          <w:color w:val="auto"/>
          <w:sz w:val="32"/>
          <w:szCs w:val="32"/>
          <w:highlight w:val="none"/>
        </w:rPr>
        <w:t>承包人提供材料设备一览表</w:t>
      </w:r>
    </w:p>
    <w:p>
      <w:pPr>
        <w:pageBreakBefore w:val="0"/>
        <w:kinsoku/>
        <w:wordWrap/>
        <w:overflowPunct/>
        <w:topLinePunct w:val="0"/>
        <w:bidi w:val="0"/>
        <w:spacing w:line="360" w:lineRule="auto"/>
        <w:jc w:val="center"/>
        <w:rPr>
          <w:rFonts w:hint="eastAsia" w:ascii="仿宋_GB2312" w:hAnsi="仿宋_GB2312" w:eastAsia="仿宋_GB2312" w:cs="仿宋_GB2312"/>
          <w:color w:val="auto"/>
          <w:highlight w:val="none"/>
        </w:rPr>
      </w:pPr>
    </w:p>
    <w:p>
      <w:pPr>
        <w:pageBreakBefore w:val="0"/>
        <w:kinsoku/>
        <w:wordWrap/>
        <w:overflowPunct/>
        <w:topLinePunct w:val="0"/>
        <w:bidi w:val="0"/>
        <w:spacing w:line="360" w:lineRule="auto"/>
        <w:jc w:val="center"/>
        <w:rPr>
          <w:rFonts w:hint="eastAsia" w:ascii="仿宋_GB2312" w:hAnsi="仿宋_GB2312" w:eastAsia="仿宋_GB2312" w:cs="仿宋_GB2312"/>
          <w:color w:val="auto"/>
          <w:highlight w:val="none"/>
        </w:rPr>
      </w:pPr>
    </w:p>
    <w:tbl>
      <w:tblPr>
        <w:tblStyle w:val="24"/>
        <w:tblpPr w:leftFromText="180" w:rightFromText="180" w:vertAnchor="text" w:horzAnchor="page" w:tblpX="885" w:tblpY="226"/>
        <w:tblOverlap w:val="never"/>
        <w:tblW w:w="0" w:type="auto"/>
        <w:jc w:val="center"/>
        <w:tblLayout w:type="fixed"/>
        <w:tblCellMar>
          <w:top w:w="0" w:type="dxa"/>
          <w:left w:w="108" w:type="dxa"/>
          <w:bottom w:w="0" w:type="dxa"/>
          <w:right w:w="108" w:type="dxa"/>
        </w:tblCellMar>
      </w:tblPr>
      <w:tblGrid>
        <w:gridCol w:w="427"/>
        <w:gridCol w:w="1056"/>
        <w:gridCol w:w="1068"/>
        <w:gridCol w:w="468"/>
        <w:gridCol w:w="1011"/>
        <w:gridCol w:w="1317"/>
        <w:gridCol w:w="1092"/>
        <w:gridCol w:w="1296"/>
        <w:gridCol w:w="1176"/>
        <w:gridCol w:w="1116"/>
      </w:tblGrid>
      <w:tr>
        <w:tblPrEx>
          <w:tblCellMar>
            <w:top w:w="0" w:type="dxa"/>
            <w:left w:w="108" w:type="dxa"/>
            <w:bottom w:w="0" w:type="dxa"/>
            <w:right w:w="108" w:type="dxa"/>
          </w:tblCellMar>
        </w:tblPrEx>
        <w:trPr>
          <w:trHeight w:val="735" w:hRule="atLeast"/>
          <w:jc w:val="center"/>
        </w:trPr>
        <w:tc>
          <w:tcPr>
            <w:tcW w:w="427" w:type="dxa"/>
            <w:vMerge w:val="restart"/>
            <w:tcBorders>
              <w:top w:val="single" w:color="000000" w:sz="4" w:space="0"/>
              <w:left w:val="single" w:color="000000" w:sz="4" w:space="0"/>
              <w:right w:val="single" w:color="000000"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序号</w:t>
            </w:r>
          </w:p>
        </w:tc>
        <w:tc>
          <w:tcPr>
            <w:tcW w:w="1056" w:type="dxa"/>
            <w:vMerge w:val="restart"/>
            <w:tcBorders>
              <w:top w:val="single" w:color="000000" w:sz="4" w:space="0"/>
              <w:left w:val="nil"/>
              <w:right w:val="single" w:color="000000"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材料名称</w:t>
            </w:r>
          </w:p>
        </w:tc>
        <w:tc>
          <w:tcPr>
            <w:tcW w:w="1068" w:type="dxa"/>
            <w:vMerge w:val="restart"/>
            <w:tcBorders>
              <w:top w:val="single" w:color="000000" w:sz="4" w:space="0"/>
              <w:left w:val="nil"/>
              <w:right w:val="single" w:color="000000"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规格型号</w:t>
            </w:r>
          </w:p>
        </w:tc>
        <w:tc>
          <w:tcPr>
            <w:tcW w:w="468" w:type="dxa"/>
            <w:vMerge w:val="restart"/>
            <w:tcBorders>
              <w:top w:val="single" w:color="000000" w:sz="4" w:space="0"/>
              <w:left w:val="nil"/>
              <w:right w:val="single" w:color="000000"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单位</w:t>
            </w:r>
          </w:p>
        </w:tc>
        <w:tc>
          <w:tcPr>
            <w:tcW w:w="3420" w:type="dxa"/>
            <w:gridSpan w:val="3"/>
            <w:tcBorders>
              <w:top w:val="single" w:color="000000" w:sz="4" w:space="0"/>
              <w:left w:val="nil"/>
              <w:bottom w:val="single" w:color="auto" w:sz="4" w:space="0"/>
              <w:right w:val="single" w:color="000000"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甲供材料单价（元）</w:t>
            </w:r>
          </w:p>
        </w:tc>
        <w:tc>
          <w:tcPr>
            <w:tcW w:w="1296" w:type="dxa"/>
            <w:vMerge w:val="restart"/>
            <w:tcBorders>
              <w:top w:val="single" w:color="000000" w:sz="4" w:space="0"/>
              <w:left w:val="nil"/>
              <w:right w:val="single" w:color="000000"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合理损耗率（%）</w:t>
            </w:r>
          </w:p>
        </w:tc>
        <w:tc>
          <w:tcPr>
            <w:tcW w:w="1176" w:type="dxa"/>
            <w:vMerge w:val="restart"/>
            <w:tcBorders>
              <w:top w:val="single" w:color="000000" w:sz="4" w:space="0"/>
              <w:left w:val="nil"/>
              <w:right w:val="single" w:color="000000"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供货地点</w:t>
            </w:r>
          </w:p>
        </w:tc>
        <w:tc>
          <w:tcPr>
            <w:tcW w:w="1116" w:type="dxa"/>
            <w:vMerge w:val="restart"/>
            <w:tcBorders>
              <w:top w:val="single" w:color="000000" w:sz="4" w:space="0"/>
              <w:left w:val="nil"/>
              <w:right w:val="single" w:color="000000"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备注</w:t>
            </w:r>
          </w:p>
        </w:tc>
      </w:tr>
      <w:tr>
        <w:tblPrEx>
          <w:tblCellMar>
            <w:top w:w="0" w:type="dxa"/>
            <w:left w:w="108" w:type="dxa"/>
            <w:bottom w:w="0" w:type="dxa"/>
            <w:right w:w="108" w:type="dxa"/>
          </w:tblCellMar>
        </w:tblPrEx>
        <w:trPr>
          <w:trHeight w:val="735" w:hRule="atLeast"/>
          <w:jc w:val="center"/>
        </w:trPr>
        <w:tc>
          <w:tcPr>
            <w:tcW w:w="427" w:type="dxa"/>
            <w:vMerge w:val="continue"/>
            <w:tcBorders>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056" w:type="dxa"/>
            <w:vMerge w:val="continue"/>
            <w:tcBorders>
              <w:left w:val="nil"/>
              <w:bottom w:val="single" w:color="000000" w:sz="4" w:space="0"/>
              <w:right w:val="single" w:color="000000"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068" w:type="dxa"/>
            <w:vMerge w:val="continue"/>
            <w:tcBorders>
              <w:left w:val="nil"/>
              <w:bottom w:val="single" w:color="000000" w:sz="4" w:space="0"/>
              <w:right w:val="single" w:color="000000" w:sz="4" w:space="0"/>
            </w:tcBorders>
            <w:vAlign w:val="center"/>
          </w:tcPr>
          <w:p>
            <w:pPr>
              <w:pageBreakBefore w:val="0"/>
              <w:widowControl/>
              <w:kinsoku/>
              <w:wordWrap/>
              <w:overflowPunct/>
              <w:topLinePunct w:val="0"/>
              <w:bidi w:val="0"/>
              <w:spacing w:line="360" w:lineRule="auto"/>
              <w:ind w:left="-672" w:leftChars="-320"/>
              <w:jc w:val="center"/>
              <w:rPr>
                <w:rFonts w:hint="eastAsia" w:ascii="仿宋_GB2312" w:hAnsi="仿宋_GB2312" w:eastAsia="仿宋_GB2312" w:cs="仿宋_GB2312"/>
                <w:color w:val="auto"/>
                <w:kern w:val="0"/>
                <w:szCs w:val="21"/>
                <w:highlight w:val="none"/>
              </w:rPr>
            </w:pPr>
          </w:p>
        </w:tc>
        <w:tc>
          <w:tcPr>
            <w:tcW w:w="468" w:type="dxa"/>
            <w:vMerge w:val="continue"/>
            <w:tcBorders>
              <w:left w:val="nil"/>
              <w:bottom w:val="single" w:color="000000" w:sz="4" w:space="0"/>
              <w:right w:val="single" w:color="000000"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011" w:type="dxa"/>
            <w:tcBorders>
              <w:top w:val="single" w:color="000000" w:sz="4" w:space="0"/>
              <w:left w:val="nil"/>
              <w:bottom w:val="single" w:color="auto" w:sz="4" w:space="0"/>
              <w:right w:val="single" w:color="000000"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b/>
                <w:bCs/>
                <w:color w:val="auto"/>
                <w:kern w:val="0"/>
                <w:szCs w:val="21"/>
                <w:highlight w:val="none"/>
              </w:rPr>
            </w:pPr>
            <w:r>
              <w:rPr>
                <w:rFonts w:hint="eastAsia" w:ascii="仿宋_GB2312" w:hAnsi="仿宋_GB2312" w:eastAsia="仿宋_GB2312" w:cs="仿宋_GB2312"/>
                <w:color w:val="auto"/>
                <w:sz w:val="24"/>
                <w:szCs w:val="24"/>
                <w:highlight w:val="none"/>
              </w:rPr>
              <w:t>不含税</w:t>
            </w:r>
            <w:r>
              <w:rPr>
                <w:rFonts w:hint="eastAsia" w:ascii="仿宋_GB2312" w:hAnsi="仿宋_GB2312" w:eastAsia="仿宋_GB2312" w:cs="仿宋_GB2312"/>
                <w:color w:val="auto"/>
                <w:kern w:val="0"/>
                <w:szCs w:val="21"/>
                <w:highlight w:val="none"/>
              </w:rPr>
              <w:t>单价</w:t>
            </w:r>
          </w:p>
        </w:tc>
        <w:tc>
          <w:tcPr>
            <w:tcW w:w="1317" w:type="dxa"/>
            <w:tcBorders>
              <w:top w:val="single" w:color="000000" w:sz="4" w:space="0"/>
              <w:left w:val="nil"/>
              <w:bottom w:val="single" w:color="000000" w:sz="4" w:space="0"/>
              <w:right w:val="single" w:color="000000"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增值税税率（%）</w:t>
            </w:r>
          </w:p>
        </w:tc>
        <w:tc>
          <w:tcPr>
            <w:tcW w:w="1092" w:type="dxa"/>
            <w:tcBorders>
              <w:top w:val="single" w:color="000000" w:sz="4" w:space="0"/>
              <w:left w:val="nil"/>
              <w:bottom w:val="single" w:color="000000" w:sz="4" w:space="0"/>
              <w:right w:val="single" w:color="000000"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含税单价</w:t>
            </w:r>
          </w:p>
        </w:tc>
        <w:tc>
          <w:tcPr>
            <w:tcW w:w="1296" w:type="dxa"/>
            <w:vMerge w:val="continue"/>
            <w:tcBorders>
              <w:left w:val="nil"/>
              <w:bottom w:val="single" w:color="000000" w:sz="4" w:space="0"/>
              <w:right w:val="single" w:color="000000"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176" w:type="dxa"/>
            <w:vMerge w:val="continue"/>
            <w:tcBorders>
              <w:left w:val="nil"/>
              <w:bottom w:val="single" w:color="000000" w:sz="4" w:space="0"/>
              <w:right w:val="single" w:color="000000"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116" w:type="dxa"/>
            <w:vMerge w:val="continue"/>
            <w:tcBorders>
              <w:left w:val="nil"/>
              <w:bottom w:val="single" w:color="000000" w:sz="4" w:space="0"/>
              <w:right w:val="single" w:color="000000"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624"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06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46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szCs w:val="21"/>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szCs w:val="21"/>
                <w:highlight w:val="none"/>
              </w:rPr>
            </w:pPr>
          </w:p>
        </w:tc>
        <w:tc>
          <w:tcPr>
            <w:tcW w:w="109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szCs w:val="21"/>
                <w:highlight w:val="none"/>
              </w:rPr>
            </w:pPr>
          </w:p>
        </w:tc>
        <w:tc>
          <w:tcPr>
            <w:tcW w:w="12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17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11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624"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06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46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szCs w:val="21"/>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szCs w:val="21"/>
                <w:highlight w:val="none"/>
              </w:rPr>
            </w:pPr>
          </w:p>
        </w:tc>
        <w:tc>
          <w:tcPr>
            <w:tcW w:w="109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szCs w:val="21"/>
                <w:highlight w:val="none"/>
              </w:rPr>
            </w:pPr>
          </w:p>
        </w:tc>
        <w:tc>
          <w:tcPr>
            <w:tcW w:w="12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17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11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624"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06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46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szCs w:val="21"/>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szCs w:val="21"/>
                <w:highlight w:val="none"/>
              </w:rPr>
            </w:pPr>
          </w:p>
        </w:tc>
        <w:tc>
          <w:tcPr>
            <w:tcW w:w="109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szCs w:val="21"/>
                <w:highlight w:val="none"/>
              </w:rPr>
            </w:pPr>
          </w:p>
        </w:tc>
        <w:tc>
          <w:tcPr>
            <w:tcW w:w="12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17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11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624"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06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46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szCs w:val="21"/>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szCs w:val="21"/>
                <w:highlight w:val="none"/>
              </w:rPr>
            </w:pPr>
          </w:p>
        </w:tc>
        <w:tc>
          <w:tcPr>
            <w:tcW w:w="109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szCs w:val="21"/>
                <w:highlight w:val="none"/>
              </w:rPr>
            </w:pPr>
          </w:p>
        </w:tc>
        <w:tc>
          <w:tcPr>
            <w:tcW w:w="12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17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11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624"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06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46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szCs w:val="21"/>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szCs w:val="21"/>
                <w:highlight w:val="none"/>
              </w:rPr>
            </w:pPr>
          </w:p>
        </w:tc>
        <w:tc>
          <w:tcPr>
            <w:tcW w:w="109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szCs w:val="21"/>
                <w:highlight w:val="none"/>
              </w:rPr>
            </w:pPr>
          </w:p>
        </w:tc>
        <w:tc>
          <w:tcPr>
            <w:tcW w:w="12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17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11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623"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06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46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09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29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17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11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r>
    </w:tbl>
    <w:p>
      <w:pPr>
        <w:pageBreakBefore w:val="0"/>
        <w:kinsoku/>
        <w:wordWrap/>
        <w:overflowPunct/>
        <w:topLinePunct w:val="0"/>
        <w:bidi w:val="0"/>
        <w:spacing w:line="360" w:lineRule="auto"/>
        <w:jc w:val="center"/>
        <w:rPr>
          <w:rFonts w:hint="eastAsia" w:ascii="仿宋_GB2312" w:hAnsi="仿宋_GB2312" w:eastAsia="仿宋_GB2312" w:cs="仿宋_GB2312"/>
          <w:color w:val="auto"/>
          <w:highlight w:val="none"/>
        </w:rPr>
      </w:pPr>
    </w:p>
    <w:p>
      <w:pPr>
        <w:pageBreakBefore w:val="0"/>
        <w:kinsoku/>
        <w:wordWrap/>
        <w:overflowPunct/>
        <w:topLinePunct w:val="0"/>
        <w:bidi w:val="0"/>
        <w:spacing w:line="360" w:lineRule="auto"/>
        <w:jc w:val="center"/>
        <w:rPr>
          <w:rFonts w:hint="eastAsia" w:ascii="仿宋_GB2312" w:hAnsi="仿宋_GB2312" w:eastAsia="仿宋_GB2312" w:cs="仿宋_GB2312"/>
          <w:color w:val="auto"/>
          <w:highlight w:val="none"/>
        </w:rPr>
      </w:pPr>
    </w:p>
    <w:p>
      <w:pPr>
        <w:pageBreakBefore w:val="0"/>
        <w:widowControl/>
        <w:kinsoku/>
        <w:wordWrap/>
        <w:overflowPunct/>
        <w:topLinePunct w:val="0"/>
        <w:bidi w:val="0"/>
        <w:spacing w:line="360" w:lineRule="auto"/>
        <w:jc w:val="left"/>
        <w:outlineLvl w:val="1"/>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br w:type="page"/>
      </w:r>
      <w:bookmarkStart w:id="923" w:name="_Toc22407"/>
      <w:bookmarkStart w:id="924" w:name="_Toc22860"/>
      <w:bookmarkStart w:id="925" w:name="_Toc1372"/>
      <w:bookmarkStart w:id="926" w:name="_Toc16086"/>
      <w:bookmarkStart w:id="927" w:name="_Toc24986"/>
      <w:r>
        <w:rPr>
          <w:rStyle w:val="29"/>
          <w:rFonts w:hint="eastAsia"/>
          <w:color w:val="auto"/>
          <w:highlight w:val="none"/>
        </w:rPr>
        <w:t>附件</w:t>
      </w:r>
      <w:bookmarkEnd w:id="923"/>
      <w:r>
        <w:rPr>
          <w:rStyle w:val="29"/>
          <w:rFonts w:hint="eastAsia"/>
          <w:color w:val="auto"/>
          <w:highlight w:val="none"/>
          <w:lang w:val="en-US" w:eastAsia="zh-CN"/>
        </w:rPr>
        <w:t xml:space="preserve">三 </w:t>
      </w:r>
      <w:r>
        <w:rPr>
          <w:rStyle w:val="29"/>
          <w:rFonts w:hint="eastAsia"/>
          <w:color w:val="auto"/>
          <w:highlight w:val="none"/>
        </w:rPr>
        <w:t>工程廉洁合同</w:t>
      </w:r>
      <w:bookmarkEnd w:id="924"/>
      <w:bookmarkEnd w:id="925"/>
      <w:bookmarkEnd w:id="926"/>
      <w:bookmarkEnd w:id="927"/>
    </w:p>
    <w:p>
      <w:pPr>
        <w:pageBreakBefore w:val="0"/>
        <w:kinsoku/>
        <w:wordWrap/>
        <w:overflowPunct/>
        <w:topLinePunct w:val="0"/>
        <w:bidi w:val="0"/>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bCs/>
          <w:color w:val="auto"/>
          <w:sz w:val="28"/>
          <w:szCs w:val="28"/>
          <w:highlight w:val="none"/>
        </w:rPr>
        <w:t>工程廉洁合同</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工程承包人（全称）：</w:t>
      </w:r>
      <w:r>
        <w:rPr>
          <w:rFonts w:hint="eastAsia" w:ascii="仿宋_GB2312" w:hAnsi="仿宋_GB2312" w:eastAsia="仿宋_GB2312" w:cs="仿宋_GB2312"/>
          <w:color w:val="auto"/>
          <w:sz w:val="24"/>
          <w:szCs w:val="24"/>
          <w:highlight w:val="none"/>
          <w:u w:val="single"/>
        </w:rPr>
        <w:t xml:space="preserve">   云南建投第十建设有限公司绥江分公司     </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专业分包人（全称）：</w:t>
      </w:r>
      <w:r>
        <w:rPr>
          <w:rFonts w:hint="eastAsia" w:ascii="仿宋_GB2312" w:hAnsi="仿宋_GB2312" w:eastAsia="仿宋_GB2312" w:cs="仿宋_GB2312"/>
          <w:color w:val="auto"/>
          <w:sz w:val="24"/>
          <w:szCs w:val="24"/>
          <w:highlight w:val="none"/>
          <w:u w:val="single"/>
        </w:rPr>
        <w:t xml:space="preserve">                                                 </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承包人、分包人双方于</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2023</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日签署了</w:t>
      </w:r>
      <w:r>
        <w:rPr>
          <w:rFonts w:hint="eastAsia" w:ascii="仿宋_GB2312" w:hAnsi="仿宋_GB2312" w:eastAsia="仿宋_GB2312" w:cs="仿宋_GB2312"/>
          <w:color w:val="auto"/>
          <w:sz w:val="24"/>
          <w:szCs w:val="24"/>
          <w:highlight w:val="none"/>
          <w:u w:val="single"/>
        </w:rPr>
        <w:t xml:space="preserve"> 绥江县保障性租赁住房建设项目防水工程</w:t>
      </w:r>
      <w:r>
        <w:rPr>
          <w:rFonts w:hint="eastAsia" w:ascii="仿宋_GB2312" w:hAnsi="仿宋_GB2312" w:eastAsia="仿宋_GB2312" w:cs="仿宋_GB2312"/>
          <w:color w:val="auto"/>
          <w:sz w:val="24"/>
          <w:szCs w:val="24"/>
          <w:highlight w:val="none"/>
        </w:rPr>
        <w:t xml:space="preserve"> 分包合同，根据中央纪委国家监委、住建部《关于在工程建设中深入开展反对腐败和反对不正当竞争的通知》和中共云南省纪委省监委、住建厅《关于在全省建设工程中建立工程承包和工程廉洁“双合同”机制的通知》精神，坚决执行《反不正当竞争法》《建筑法》《招标投标法》等有关法律法规和政策，为认真贯彻中央和省委关于加大反腐败斗争力度精神，推进廉洁建设，预防和减少工程建设中经济犯罪，共同维护建筑市场经济秩序；加强工程项目建设期间廉洁合作，确保项目高效优质按期竣工；双方经协商签订本合同并作为双方共同遵守的廉洁合作行为准则。</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一、承包人职责</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1.不得索要或接受分包人提供的礼金、有价证券（卡）、支付凭证、各类产品和礼品；不得通过分包人报销应由个人支付的各种费用。</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2.不得借本人有家庭婚丧嫁娶、住房装修等动机，索取或接受分包人的礼品、礼金、有价证券或劳务、财务帮助。</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3.不得利用职权安排亲友、子女到分包人单位工作或分包工程。</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4.不得接受分包人提供的宴请、高消费娱乐活动及观光旅游活动。</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5.不得为分包人违规超额计量、超限支付，并从中收受回扣，谋取私利。</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6.不得因分包人拒绝本人的不合理要求，而故意刁难分包人。</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7.在工程项目建设中发现分包人有不廉洁行为，应及时采取措施，终止其不廉洁行为的继续发生，</w:t>
      </w:r>
      <w:r>
        <w:rPr>
          <w:rFonts w:hint="eastAsia" w:ascii="仿宋_GB2312" w:hAnsi="仿宋_GB2312" w:eastAsia="仿宋_GB2312" w:cs="仿宋_GB2312"/>
          <w:color w:val="auto"/>
          <w:sz w:val="24"/>
          <w:szCs w:val="24"/>
          <w:highlight w:val="none"/>
          <w:lang w:val="en-US" w:eastAsia="zh-CN"/>
        </w:rPr>
        <w:t>并报告单位纪检监察部门</w:t>
      </w:r>
      <w:r>
        <w:rPr>
          <w:rFonts w:hint="eastAsia" w:ascii="仿宋_GB2312" w:hAnsi="仿宋_GB2312" w:eastAsia="仿宋_GB2312" w:cs="仿宋_GB2312"/>
          <w:color w:val="auto"/>
          <w:sz w:val="24"/>
          <w:szCs w:val="24"/>
          <w:highlight w:val="none"/>
        </w:rPr>
        <w:t>。</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二、分包人职责</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1.坚持依法合规经营和诚实守信原则，如实向承包人提供有关资质材料和经营信息。</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2.分包人不得为承包人及其工作人员报销应由承包人单位或个人支付的任何费用。</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3.分包人不得邀请和资助承包人工作人员及其家属外出旅游、参观、学习。</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4.分包人不得利用黄、赌、贿等各种手段拉拢腐蚀承包人工作人员。</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5.分包人不得宴请承包人工作人员或向承包人工作人员赠送各种礼品、礼券（现金），如有违反规定除给相关人员处分外，承包人有权终止工程项目施工合同，由此给承包人造成的损失均由分包人承担。</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三、违约责任</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承包人工作人员有违反本合同约定责任行为的，分包人应向承包人的监督部门进行投诉或举报，承包人核查违规违纪行为属实，按照管理权限，依照有关法律法规和规定给予党纪、政务处分，涉嫌犯罪的，移交司法机关追究法律责任，给分包人造成损失的，应予以赔偿。</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2.分包人工作人员有违反本合同约定责任行为的，按照管理权限，依照有关法律法规和规定给予党纪、政务处分，涉嫌犯罪的，移交司法机关追究法律责任，给承包人造成损失的，应予以赔偿。</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3.分包人在工程项目建设中采用不正当手段拉拢承包人人员，损害承包人利益，根据具体情节和造成后果，承包人有权解除工程项目分包合同，由此给承包人造成的损失均由分包人承担。</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4.如分包人在工程项目建设中贿赂承包方人员，被纪检监察机关立案查处的，承包人有权解除工程项目分包合同。由此给承包人造成的损失均由分包人承担，并向承包人承担经济赔偿责任。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5.分包人在工程项目建设中发现承包人人员有不廉洁行为，应及时采取措施，积极有效地终止其不廉洁行为的连续发生，并及时告知</w:t>
      </w:r>
      <w:r>
        <w:rPr>
          <w:rFonts w:hint="eastAsia" w:ascii="仿宋_GB2312" w:hAnsi="仿宋_GB2312" w:eastAsia="仿宋_GB2312" w:cs="仿宋_GB2312"/>
          <w:color w:val="auto"/>
          <w:sz w:val="24"/>
          <w:szCs w:val="24"/>
          <w:highlight w:val="none"/>
          <w:lang w:val="en-US" w:eastAsia="zh-CN"/>
        </w:rPr>
        <w:t>承包人单位纪检监察部门。</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6.本合同一式陆份，甲方执肆份，乙方执贰份，自签订之日起生效，签订后报双方廉洁监督机构备案</w:t>
      </w:r>
      <w:r>
        <w:rPr>
          <w:rFonts w:hint="eastAsia" w:ascii="仿宋_GB2312" w:hAnsi="仿宋_GB2312" w:eastAsia="仿宋_GB2312" w:cs="仿宋_GB2312"/>
          <w:color w:val="auto"/>
          <w:sz w:val="24"/>
          <w:szCs w:val="24"/>
          <w:highlight w:val="none"/>
          <w:lang w:eastAsia="zh-CN"/>
        </w:rPr>
        <w:t>。</w:t>
      </w:r>
    </w:p>
    <w:p>
      <w:pPr>
        <w:pageBreakBefore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工程承包人（公章）：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专业分包人（公章）：</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云南建投第十建设有限公司绥江分公司</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地址： 云南省昭通市绥江县中城镇农业村7组   地址：</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                        法定代表人：</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（或委托代理人）：                  （或委托代理人）：</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联系电话：                           联系电话：</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廉洁监督机构：（公章）               廉洁监督机构：（公章）</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联系电话：                           联系电话：</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年   月  日                          年   月  日</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ind w:firstLine="315" w:firstLineChars="150"/>
        <w:outlineLvl w:val="1"/>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color w:val="auto"/>
          <w:highlight w:val="none"/>
        </w:rPr>
        <w:br w:type="page"/>
      </w:r>
      <w:bookmarkStart w:id="928" w:name="_Toc7215"/>
      <w:bookmarkStart w:id="929" w:name="_Toc17444"/>
      <w:bookmarkStart w:id="930" w:name="_Toc17054"/>
      <w:bookmarkStart w:id="931" w:name="_Toc427"/>
      <w:bookmarkStart w:id="932" w:name="_Toc6003"/>
      <w:r>
        <w:rPr>
          <w:rStyle w:val="29"/>
          <w:rFonts w:hint="eastAsia"/>
          <w:color w:val="auto"/>
          <w:highlight w:val="none"/>
        </w:rPr>
        <w:t>附件</w:t>
      </w:r>
      <w:bookmarkEnd w:id="928"/>
      <w:r>
        <w:rPr>
          <w:rStyle w:val="29"/>
          <w:rFonts w:hint="eastAsia"/>
          <w:color w:val="auto"/>
          <w:highlight w:val="none"/>
          <w:lang w:val="en-US" w:eastAsia="zh-CN"/>
        </w:rPr>
        <w:t>四</w:t>
      </w:r>
      <w:r>
        <w:rPr>
          <w:rStyle w:val="29"/>
          <w:rFonts w:hint="eastAsia"/>
          <w:color w:val="auto"/>
          <w:highlight w:val="none"/>
        </w:rPr>
        <w:t xml:space="preserve"> 安全生产管理合同</w:t>
      </w:r>
      <w:bookmarkEnd w:id="929"/>
      <w:bookmarkEnd w:id="930"/>
      <w:bookmarkEnd w:id="931"/>
      <w:bookmarkEnd w:id="932"/>
    </w:p>
    <w:p>
      <w:pPr>
        <w:pageBreakBefore w:val="0"/>
        <w:kinsoku/>
        <w:wordWrap/>
        <w:overflowPunct/>
        <w:topLinePunct w:val="0"/>
        <w:bidi w:val="0"/>
        <w:spacing w:line="360" w:lineRule="auto"/>
        <w:jc w:val="center"/>
        <w:rPr>
          <w:rFonts w:hint="eastAsia" w:ascii="仿宋_GB2312" w:hAnsi="仿宋_GB2312" w:eastAsia="仿宋_GB2312" w:cs="仿宋_GB2312"/>
          <w:b/>
          <w:bCs/>
          <w:color w:val="auto"/>
          <w:sz w:val="28"/>
          <w:szCs w:val="28"/>
          <w:highlight w:val="none"/>
        </w:rPr>
      </w:pPr>
      <w:bookmarkStart w:id="933" w:name="_Toc22071_WPSOffice_Level1"/>
      <w:bookmarkStart w:id="934" w:name="_Toc24917_WPSOffice_Level1"/>
      <w:r>
        <w:rPr>
          <w:rFonts w:hint="eastAsia" w:ascii="仿宋_GB2312" w:hAnsi="仿宋_GB2312" w:eastAsia="仿宋_GB2312" w:cs="仿宋_GB2312"/>
          <w:b/>
          <w:bCs/>
          <w:color w:val="auto"/>
          <w:sz w:val="28"/>
          <w:szCs w:val="28"/>
          <w:highlight w:val="none"/>
        </w:rPr>
        <w:t>安全生产管理合同</w:t>
      </w:r>
      <w:bookmarkEnd w:id="933"/>
      <w:bookmarkEnd w:id="934"/>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为在工程专业分包合同的实施过程中创造安全.高效的施工环境，切实搞好本工程的安全管理工作，本工程承包人</w:t>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u w:val="single"/>
        </w:rPr>
        <w:t>云南建投第十建设有限公司绥江分公司</w:t>
      </w:r>
      <w:r>
        <w:rPr>
          <w:rFonts w:hint="eastAsia" w:ascii="仿宋_GB2312" w:hAnsi="仿宋_GB2312" w:eastAsia="仿宋_GB2312" w:cs="仿宋_GB2312"/>
          <w:color w:val="auto"/>
          <w:sz w:val="24"/>
          <w:szCs w:val="24"/>
          <w:highlight w:val="none"/>
        </w:rPr>
        <w:t>（以下简称“甲方”）与本工程专业分包人：</w:t>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（以下简称“乙方”）签订安全生产合同：</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一、甲方职责</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1.严格遵守国家有关安全生产的法律法规，认真执行工程承包合同中的有关安全要求。</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2.按照“安全第一.预防为主”和坚持“管生产必须管安全”的原则进行安全生产管理，做到生产与安全工作同时计划.布置.检查.总结和评比。</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3.安全设施必须坚持与主体工程“三同时”的原则进行，即：同时设计.审批，同时施工，同时验收，投入使用。</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4.定期召开安全生产工作会，及时传达中央.地方及有关安全生产的精神。</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5.组织对乙方就工程项目施工安全管理情况进行检查和评价，监督乙方及时处理发现的各种安全隐患。</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二、乙方职责</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1.严格遵守《中华人民共和国安全生产法》.《建设工程安全生产管理条例》等国家有关安全生产的法律法规，认真执行工程分包合同中的有关安全要求，并服从甲方现场管理。</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坚持“安全第一.预防为主”和“管生产必须管安全”的原则，加强安全生产宣传教育，增强全员安全生产意识，建立健全各项安全生产的管理组织和安全生产管理制度，配备专职及兼职安全员。有组织有领导的开展安全生产活动。工程技术人员.生产管理人员和具体操作人员，必须熟悉和遵守有关现场施工安全的各项规定，做到生产与安全工作同时计划.布置.检查.总结和评比。</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3.乙方必须定期和不定期研究.解决本承包方承担施工项目的一切安全问题，加强现场安全管理，及时清除事故隐患，确保安全生产措施资金的投入。</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4.乙方必须督促现场施工人员严格遵守有关安全规章制度、操作规程和劳动纪律，在任何时候都应采取各种合理的预防措施，防止其施工人员发生任何违法.违禁.暴力或妨碍治安的行为。</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乙方参加施工人员，必须接受安全技术教育，熟知和遵守本工种的各项安全技术操作规程，定期进行安全技术考核，合格者方准上岗操作。对于从事电气.起重.登高架设作业.焊接.机动车辆.施工机械驾驶.爆破等特殊工种的人员，经过专业培训获得“法定操作上岗证”后，方准持证上岗，施工现场如出现特种作业无证操作现象时，乙方必须承担管理责任。</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除对易燃.易爆.有毒的材料应专门妥善保管之外，还应配备有足够的消防设施，所有施工人员都应熟悉消防设备的性能和使用方法；乙方不得将任何种类的爆炸物给予.销售或以其他方式转让给任何其他人，或允许.容忍上述同样行为。</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7.操作人员上岗，必须按规定正确佩戴和使用个体安全防护装备。施工负责人和安全检查员应随时检查操作人员个体安全防护装备的穿戴和使用情况，不按规定穿戴和使用个体安全防护装备的不得上岗。</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8.所有施工机具均应定期检查，并有安全员的签字记录，保证其正常，并处于完好状态；不合格的机具.设备和劳动保护用品严禁使用。</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9.施工中采用新技术.新工艺.新设备.新材料时，必须制定并执行相应的安全技术措施。施工现场必须按相关的安全规定设置标志牌。</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10.乙方必须按照本工程项目特点，组织制定本工程实施中的生产安全事故应急救援预案；如果发生安全事故，应按照《国务院关于特大安全事故行政责任追究的规定》以及其它有关规定，及时上报有关部门，并按“四不放过”的原则，严肃处理相关责任人。 </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三、违约责任</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如因甲方或乙方违约造成安全事故，将依法承担相应责任。</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四、本合同由双方法定代表人或其授权的代理人签署盖章后生效，全部工程竣工验收后失效。本合同一式</w:t>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u w:val="single"/>
          <w:lang w:val="en-US" w:eastAsia="zh-CN"/>
        </w:rPr>
        <w:t xml:space="preserve">陆 </w:t>
      </w:r>
      <w:r>
        <w:rPr>
          <w:rFonts w:hint="eastAsia" w:ascii="仿宋_GB2312" w:hAnsi="仿宋_GB2312" w:eastAsia="仿宋_GB2312" w:cs="仿宋_GB2312"/>
          <w:color w:val="auto"/>
          <w:sz w:val="24"/>
          <w:szCs w:val="24"/>
          <w:highlight w:val="none"/>
        </w:rPr>
        <w:t>份，甲方持</w:t>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u w:val="single"/>
          <w:lang w:val="en-US" w:eastAsia="zh-CN"/>
        </w:rPr>
        <w:t>肆</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份,乙方持</w:t>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u w:val="single"/>
          <w:lang w:val="en-US" w:eastAsia="zh-CN"/>
        </w:rPr>
        <w:t>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份，每份具有同等法律效力。</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甲方（公章）：云南建投第十建设有限公司        乙方（公章）：</w:t>
      </w:r>
    </w:p>
    <w:p>
      <w:pPr>
        <w:pageBreakBefore w:val="0"/>
        <w:kinsoku/>
        <w:wordWrap/>
        <w:overflowPunct/>
        <w:topLinePunct w:val="0"/>
        <w:bidi w:val="0"/>
        <w:spacing w:line="360" w:lineRule="auto"/>
        <w:ind w:firstLine="2040" w:firstLineChars="8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绥江分公司</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地址：云南省昭通市绥江县中城镇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地 址：</w:t>
      </w:r>
    </w:p>
    <w:p>
      <w:pPr>
        <w:pageBreakBefore w:val="0"/>
        <w:kinsoku/>
        <w:wordWrap/>
        <w:overflowPunct/>
        <w:topLinePunct w:val="0"/>
        <w:bidi w:val="0"/>
        <w:spacing w:line="360" w:lineRule="auto"/>
        <w:ind w:firstLine="1080" w:firstLineChars="4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农业村7组</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                         法定代表人：</w:t>
      </w:r>
    </w:p>
    <w:p>
      <w:pPr>
        <w:keepNext w:val="0"/>
        <w:keepLines w:val="0"/>
        <w:pageBreakBefore w:val="0"/>
        <w:widowControl w:val="0"/>
        <w:kinsoku/>
        <w:wordWrap/>
        <w:overflowPunct/>
        <w:topLinePunct w:val="0"/>
        <w:autoSpaceDE/>
        <w:autoSpaceDN/>
        <w:bidi w:val="0"/>
        <w:adjustRightInd/>
        <w:snapToGrid/>
        <w:spacing w:line="24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（或委托代理人）：                   （或委托代理人）：</w:t>
      </w:r>
    </w:p>
    <w:p>
      <w:pPr>
        <w:keepNext w:val="0"/>
        <w:keepLines w:val="0"/>
        <w:pageBreakBefore w:val="0"/>
        <w:widowControl w:val="0"/>
        <w:kinsoku/>
        <w:wordWrap/>
        <w:overflowPunct/>
        <w:topLinePunct w:val="0"/>
        <w:autoSpaceDE/>
        <w:autoSpaceDN/>
        <w:bidi w:val="0"/>
        <w:adjustRightInd/>
        <w:snapToGrid/>
        <w:spacing w:line="24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 系 电 话：                        联 系 电 话：</w:t>
      </w:r>
    </w:p>
    <w:p>
      <w:pPr>
        <w:keepNext w:val="0"/>
        <w:keepLines w:val="0"/>
        <w:pageBreakBefore w:val="0"/>
        <w:widowControl w:val="0"/>
        <w:kinsoku/>
        <w:wordWrap/>
        <w:overflowPunct/>
        <w:topLinePunct w:val="0"/>
        <w:autoSpaceDE/>
        <w:autoSpaceDN/>
        <w:bidi w:val="0"/>
        <w:adjustRightInd/>
        <w:snapToGrid/>
        <w:spacing w:line="24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      期：                         日      期：</w:t>
      </w:r>
    </w:p>
    <w:p>
      <w:pPr>
        <w:pageBreakBefore w:val="0"/>
        <w:widowControl/>
        <w:kinsoku/>
        <w:wordWrap/>
        <w:overflowPunct/>
        <w:topLinePunct w:val="0"/>
        <w:bidi w:val="0"/>
        <w:spacing w:line="360" w:lineRule="auto"/>
        <w:jc w:val="left"/>
        <w:outlineLvl w:val="1"/>
        <w:rPr>
          <w:rStyle w:val="29"/>
          <w:rFonts w:hint="eastAsia"/>
          <w:color w:val="auto"/>
          <w:highlight w:val="none"/>
        </w:rPr>
      </w:pPr>
      <w:r>
        <w:rPr>
          <w:rFonts w:hint="eastAsia" w:ascii="仿宋_GB2312" w:hAnsi="仿宋_GB2312" w:eastAsia="仿宋_GB2312" w:cs="仿宋_GB2312"/>
          <w:b/>
          <w:bCs/>
          <w:color w:val="auto"/>
          <w:szCs w:val="21"/>
          <w:highlight w:val="none"/>
        </w:rPr>
        <w:br w:type="page"/>
      </w:r>
      <w:bookmarkStart w:id="935" w:name="_Toc7069"/>
      <w:bookmarkStart w:id="936" w:name="_Toc4968"/>
      <w:bookmarkStart w:id="937" w:name="_Toc7305"/>
      <w:bookmarkStart w:id="938" w:name="_Toc30826"/>
      <w:bookmarkStart w:id="939" w:name="_Toc7099"/>
      <w:r>
        <w:rPr>
          <w:rStyle w:val="29"/>
          <w:rFonts w:hint="eastAsia"/>
          <w:color w:val="auto"/>
          <w:highlight w:val="none"/>
        </w:rPr>
        <w:t>附件</w:t>
      </w:r>
      <w:bookmarkEnd w:id="935"/>
      <w:r>
        <w:rPr>
          <w:rStyle w:val="29"/>
          <w:rFonts w:hint="eastAsia"/>
          <w:color w:val="auto"/>
          <w:highlight w:val="none"/>
          <w:lang w:val="en-US" w:eastAsia="zh-CN"/>
        </w:rPr>
        <w:t>五</w:t>
      </w:r>
      <w:r>
        <w:rPr>
          <w:rStyle w:val="29"/>
          <w:rFonts w:hint="eastAsia"/>
          <w:color w:val="auto"/>
          <w:highlight w:val="none"/>
        </w:rPr>
        <w:t xml:space="preserve"> 安全责任书</w:t>
      </w:r>
      <w:bookmarkEnd w:id="936"/>
      <w:bookmarkEnd w:id="937"/>
      <w:bookmarkEnd w:id="938"/>
    </w:p>
    <w:bookmarkEnd w:id="939"/>
    <w:p>
      <w:pPr>
        <w:pageBreakBefore w:val="0"/>
        <w:kinsoku/>
        <w:wordWrap/>
        <w:overflowPunct/>
        <w:topLinePunct w:val="0"/>
        <w:bidi w:val="0"/>
        <w:spacing w:line="360" w:lineRule="auto"/>
        <w:jc w:val="center"/>
        <w:rPr>
          <w:rFonts w:hint="eastAsia" w:ascii="仿宋_GB2312" w:hAnsi="仿宋_GB2312" w:eastAsia="仿宋_GB2312" w:cs="仿宋_GB2312"/>
          <w:b/>
          <w:bCs/>
          <w:color w:val="auto"/>
          <w:sz w:val="28"/>
          <w:szCs w:val="28"/>
          <w:highlight w:val="none"/>
        </w:rPr>
      </w:pPr>
      <w:bookmarkStart w:id="940" w:name="_Toc12373_WPSOffice_Level1"/>
      <w:bookmarkStart w:id="941" w:name="_Toc30690_WPSOffice_Level1"/>
      <w:r>
        <w:rPr>
          <w:rFonts w:hint="eastAsia" w:ascii="仿宋_GB2312" w:hAnsi="仿宋_GB2312" w:eastAsia="仿宋_GB2312" w:cs="仿宋_GB2312"/>
          <w:b/>
          <w:bCs/>
          <w:color w:val="auto"/>
          <w:sz w:val="28"/>
          <w:szCs w:val="28"/>
          <w:highlight w:val="none"/>
        </w:rPr>
        <w:t>安全责任书</w:t>
      </w:r>
      <w:bookmarkEnd w:id="940"/>
      <w:bookmarkEnd w:id="941"/>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为规范项目施工安全管理，全面贯彻公司安全方针和安全管理体系标准，在</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防水</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                  工程专业分包合同的实施过程中保证施工安全，本项目工程承包人</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u w:val="single"/>
        </w:rPr>
        <w:t xml:space="preserve"> 云南建投第十建设有限公司绥江分公司    </w:t>
      </w:r>
      <w:r>
        <w:rPr>
          <w:rFonts w:hint="eastAsia" w:ascii="仿宋_GB2312" w:hAnsi="仿宋_GB2312" w:eastAsia="仿宋_GB2312" w:cs="仿宋_GB2312"/>
          <w:color w:val="auto"/>
          <w:sz w:val="24"/>
          <w:szCs w:val="24"/>
          <w:highlight w:val="none"/>
        </w:rPr>
        <w:t>（以下简称“甲方”）与本工程专业分包人：</w:t>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（以下简称“乙方”）签订安全责任书：</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在施工准备阶段和施工过程中，甲方乙方都应贯彻执行国家和属地有关建筑施工安全和文明施工，现场管理方面的法律.法规及行业安全操作.规范.标准，并确定履行法律.法规所赋予双方各自的安全职责。以确保建筑工程施工始终在安全文明的前提下进行。</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乙方进场后应遵守国家和属地对安全及文明施工的有关文件规定，包括行业安全操作规程.规范及标准，以及甲方规定的各项规章制度和管理规定。乙方对施工现场的规定负全责，凡在施工现场内（含生产现场和生活区）因违章指挥.违章操作导致发生高空坠落.物体打击.机械事故.触电土方坍塌事故及管线折断.破裂.泄漏事故或由乙方自身原因造成的失火.失盗.人员伤亡事故，以及民生政治.刑事.治安案件和食物中毒.疫情.职业危害.交通事故等非正常死亡，除依法追究肇事者和有关管理人员的责任外，一切由此引起的经济损失，及所造成的不良影响和后果均由乙方承担（发生不可抗拒的灾害除外）。</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施工前，乙方必须建立安全生产责任制度。明确管理人员和施工人员的安全责任，对所有进场施工人员（含管理人员在内），进行入场安全教育，并编制详细的施工组织设计或施工方案，进行安全技术交底（做到使所有施工人员知情，并使操作人员制定和掌握具体的实施方法）。向有关部门提供承包单位的资质证明，保证所有特种作业人员持证上岗。</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四、乙方委托代理人为安全第一责任人。全面负责施工现场的安全管理，乙方必须指定专人负责现场的安全技术管理工作，安全管理人员认真履行职责，组织力量实施现场安全监督.跟踪管理.并不得擅自离开现场。对可能发生的问题及时采取措施予以控制，发挥违章指挥.违章操作的行为要及时指出.坚决制止。实现生产安全责任事故“零死亡”的目标</w:t>
      </w:r>
      <w:r>
        <w:rPr>
          <w:rFonts w:hint="eastAsia" w:ascii="仿宋_GB2312" w:hAnsi="仿宋_GB2312" w:eastAsia="仿宋_GB2312" w:cs="仿宋_GB2312"/>
          <w:color w:val="auto"/>
          <w:sz w:val="24"/>
          <w:szCs w:val="24"/>
          <w:highlight w:val="none"/>
          <w:lang w:eastAsia="zh-CN"/>
        </w:rPr>
        <w:t>。</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五、乙方须严格按照相关法律.法规和操作规程.规范及标准进行施工，并做到：</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1.实施基槽及路基开挖作业应根据基坑.基槽等和开挖深度.土质类别选择开挖方案，明确边坡或采取相应护坡支撑和护堤桩以防塌方。边坡周围施加静载（土堆等）或动载（泵车浇筑等）应符合相应安全规定。</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2.据甲方提供的资料对施工现场及其影响的区域内地下的障碍物清理或采取相应的措施，对周围道路管线采取保护措施。</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3.加强暑期中暑或流感的有效防控，发现异常立即了解情况并送医隔离。</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施工作业前需对机械.设备.仪器.仪表.工具器材等进行检查，确认完好无误后方可使用。电气设备.电源线路必须绝缘良好，不得与金属物浸水位置（导电物品）搭接捆绑在一起，各种临时电源线，绝缘皮要防止摩擦破损和被重物埋压。电动机.配电箱应按规定安装防护设置.漏电保护器及接地.接零和设备专一电闸等有效控制。当临时停电或停工休息时必须拉闸.上锁。</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5.在施工中动用明火（如进行电气焊作业）或高处作业等必须实行审批制度和安全防护措施，现场（含生活区）的消防设备.器材按有关规定配置，对易燃易爆的危险品运输.储存.保管要符合安全规定要求。</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督促施工人员做好下班后清理检查工作，对作业区域存在的危险因素（如管道沟.槽，管道井及高低压线路.变电.配电设施）要采取防护措施，设置防护围栏，设置警示标识（含晚间设置警示灯）。要严加防范.重点监控。在管道井下或密闭容器作业应严守操作规程并注意通风.照明和保持通讯联络，并有两个以上人员作业，以防因缺氧造成的事故。</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7.实施挖土作业和拆除工程中发现管道.电缆及其它埋设物应及时报告，不得擅自处理。</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8.按规范要求及现场实际情况布置现场消防通道.消防栓.消防水龙带.消防专职安全员。</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六、乙方应按规定要求制定劳保技术措施，保证操作人员劳保用品和用工规范要求。</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七、乙方应按施工现场安全文明和环保.环卫的有关规定设置宿舍.食堂.饮用水及其他卫生设施。对施工现场的环境（如现场废水.尘雾.噪声.振动.坠落物等）进行有效地控制，为防止职业危害提供良好的作业环境。</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八、外地施工人员必须有合法有效的身份证件，并及时办理暂住证.健康证，签订保稳定保安全责任书。</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九、关心职工及外地施工队伍的生活，及时了解思想动态，最大可能满足他们的合理要求，帮助他们克服工作.生活上的困难，确保其思想稳定生产安全。</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十、保证责任区内符合安全.环保.环卫要求，做到：不起尘无遗洒.进出车辆保洁，路面有人清扫，落实门前三包。</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十一、甲方有权对乙方施工全过程的安全进行监督，对各种不安全因素.隐患有权提出整改意见。对甲方提出的不安全问题及隐患乙方应立即整改，对当时难以解决的问题应采取临时可靠措施加以控制，对经指出不予整改的或乙方失职失误造成的事故案件的，甲方有权依据双方签订的劳务（专业）分包合同的约定，按违约给予相应处罚。</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十二、本本协议未尽事宜以国家和地方现行法律.法规及行业安全操作规程.规范.标准为依据。</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十三、本责任书由双方法定代表人或其授权的代理人签署盖章后生效，全部工程竣工验收后失效。本责任书一式</w:t>
      </w:r>
      <w:r>
        <w:rPr>
          <w:rFonts w:hint="eastAsia" w:ascii="仿宋_GB2312" w:hAnsi="仿宋_GB2312" w:eastAsia="仿宋_GB2312" w:cs="仿宋_GB2312"/>
          <w:color w:val="auto"/>
          <w:sz w:val="24"/>
          <w:szCs w:val="24"/>
          <w:highlight w:val="none"/>
          <w:lang w:val="en-US" w:eastAsia="zh-CN"/>
        </w:rPr>
        <w:t>陆</w:t>
      </w:r>
      <w:r>
        <w:rPr>
          <w:rFonts w:hint="eastAsia" w:ascii="仿宋_GB2312" w:hAnsi="仿宋_GB2312" w:eastAsia="仿宋_GB2312" w:cs="仿宋_GB2312"/>
          <w:color w:val="auto"/>
          <w:sz w:val="24"/>
          <w:szCs w:val="24"/>
          <w:highlight w:val="none"/>
        </w:rPr>
        <w:t>份，甲方持</w:t>
      </w:r>
      <w:r>
        <w:rPr>
          <w:rFonts w:hint="eastAsia" w:ascii="仿宋_GB2312" w:hAnsi="仿宋_GB2312" w:eastAsia="仿宋_GB2312" w:cs="仿宋_GB2312"/>
          <w:color w:val="auto"/>
          <w:sz w:val="24"/>
          <w:szCs w:val="24"/>
          <w:highlight w:val="none"/>
          <w:lang w:val="en-US" w:eastAsia="zh-CN"/>
        </w:rPr>
        <w:t>肆</w:t>
      </w:r>
      <w:r>
        <w:rPr>
          <w:rFonts w:hint="eastAsia" w:ascii="仿宋_GB2312" w:hAnsi="仿宋_GB2312" w:eastAsia="仿宋_GB2312" w:cs="仿宋_GB2312"/>
          <w:color w:val="auto"/>
          <w:sz w:val="24"/>
          <w:szCs w:val="24"/>
          <w:highlight w:val="none"/>
        </w:rPr>
        <w:t>份,乙方持</w:t>
      </w:r>
      <w:r>
        <w:rPr>
          <w:rFonts w:hint="eastAsia" w:ascii="仿宋_GB2312" w:hAnsi="仿宋_GB2312" w:eastAsia="仿宋_GB2312" w:cs="仿宋_GB2312"/>
          <w:color w:val="auto"/>
          <w:sz w:val="24"/>
          <w:szCs w:val="24"/>
          <w:highlight w:val="none"/>
          <w:lang w:val="en-US" w:eastAsia="zh-CN"/>
        </w:rPr>
        <w:t>贰</w:t>
      </w:r>
      <w:r>
        <w:rPr>
          <w:rFonts w:hint="eastAsia" w:ascii="仿宋_GB2312" w:hAnsi="仿宋_GB2312" w:eastAsia="仿宋_GB2312" w:cs="仿宋_GB2312"/>
          <w:color w:val="auto"/>
          <w:sz w:val="24"/>
          <w:szCs w:val="24"/>
          <w:highlight w:val="none"/>
        </w:rPr>
        <w:t>份，本《安全责任书》与《工程专业合同》同时签订，与《工程专业分包合同》具有同等法律效力。</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甲方（公章）：云南建投第十建设有限公司     乙方（公章）：</w:t>
      </w:r>
    </w:p>
    <w:p>
      <w:pPr>
        <w:pageBreakBefore w:val="0"/>
        <w:kinsoku/>
        <w:wordWrap/>
        <w:overflowPunct/>
        <w:topLinePunct w:val="0"/>
        <w:bidi w:val="0"/>
        <w:spacing w:line="360" w:lineRule="auto"/>
        <w:ind w:firstLine="2280" w:firstLineChars="9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绥江分公司</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地址：云南省昭通市绥江县中城镇农业村7组     地 址：</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                         法定代表人：</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（或委托代理人）：                   （或委托代理人）：</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 系 电 话：                        联 系 电 话：</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      期：                         日      期：</w:t>
      </w:r>
    </w:p>
    <w:p>
      <w:pPr>
        <w:pageBreakBefore w:val="0"/>
        <w:kinsoku/>
        <w:wordWrap/>
        <w:overflowPunct/>
        <w:topLinePunct w:val="0"/>
        <w:bidi w:val="0"/>
        <w:spacing w:line="360" w:lineRule="auto"/>
        <w:jc w:val="left"/>
        <w:outlineLvl w:val="1"/>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color w:val="auto"/>
          <w:szCs w:val="21"/>
          <w:highlight w:val="none"/>
        </w:rPr>
        <w:br w:type="page"/>
      </w:r>
      <w:bookmarkStart w:id="942" w:name="_Toc31120"/>
      <w:bookmarkStart w:id="943" w:name="_Toc32591"/>
      <w:bookmarkStart w:id="944" w:name="_Toc14570"/>
      <w:bookmarkStart w:id="945" w:name="_Toc25323"/>
      <w:bookmarkStart w:id="946" w:name="_Toc5406"/>
      <w:r>
        <w:rPr>
          <w:rStyle w:val="29"/>
          <w:rFonts w:hint="eastAsia"/>
          <w:color w:val="auto"/>
          <w:highlight w:val="none"/>
        </w:rPr>
        <w:t>附件</w:t>
      </w:r>
      <w:bookmarkEnd w:id="942"/>
      <w:r>
        <w:rPr>
          <w:rStyle w:val="29"/>
          <w:rFonts w:hint="eastAsia"/>
          <w:color w:val="auto"/>
          <w:highlight w:val="none"/>
          <w:lang w:val="en-US" w:eastAsia="zh-CN"/>
        </w:rPr>
        <w:t>六</w:t>
      </w:r>
      <w:r>
        <w:rPr>
          <w:rStyle w:val="29"/>
          <w:rFonts w:hint="eastAsia"/>
          <w:color w:val="auto"/>
          <w:highlight w:val="none"/>
        </w:rPr>
        <w:t xml:space="preserve"> 环境保护责任书</w:t>
      </w:r>
      <w:bookmarkEnd w:id="943"/>
      <w:bookmarkEnd w:id="944"/>
      <w:bookmarkEnd w:id="945"/>
      <w:bookmarkEnd w:id="946"/>
    </w:p>
    <w:p>
      <w:pPr>
        <w:pageBreakBefore w:val="0"/>
        <w:kinsoku/>
        <w:wordWrap/>
        <w:overflowPunct/>
        <w:topLinePunct w:val="0"/>
        <w:bidi w:val="0"/>
        <w:spacing w:line="360" w:lineRule="auto"/>
        <w:jc w:val="center"/>
        <w:rPr>
          <w:rFonts w:hint="eastAsia" w:ascii="仿宋_GB2312" w:hAnsi="仿宋_GB2312" w:eastAsia="仿宋_GB2312" w:cs="仿宋_GB2312"/>
          <w:b/>
          <w:bCs/>
          <w:color w:val="auto"/>
          <w:sz w:val="28"/>
          <w:szCs w:val="28"/>
          <w:highlight w:val="none"/>
        </w:rPr>
      </w:pPr>
      <w:bookmarkStart w:id="947" w:name="_Toc10700_WPSOffice_Level1"/>
      <w:bookmarkStart w:id="948" w:name="_Toc9055_WPSOffice_Level1"/>
      <w:r>
        <w:rPr>
          <w:rFonts w:hint="eastAsia" w:ascii="仿宋_GB2312" w:hAnsi="仿宋_GB2312" w:eastAsia="仿宋_GB2312" w:cs="仿宋_GB2312"/>
          <w:b/>
          <w:bCs/>
          <w:color w:val="auto"/>
          <w:sz w:val="28"/>
          <w:szCs w:val="28"/>
          <w:highlight w:val="none"/>
        </w:rPr>
        <w:t>环境保护责任书</w:t>
      </w:r>
      <w:bookmarkEnd w:id="947"/>
      <w:bookmarkEnd w:id="948"/>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为进一步增强环境保护意识，保护和改善生活和生态环境，防止污染和其他公害，树立良好的建设形象，作到思想重视，责任明确，制度落实，及时进行检查整改，根据国家有关环境保护的法律法规及工程的实际情况，由工程承包人：</w:t>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u w:val="single"/>
        </w:rPr>
        <w:t xml:space="preserve"> 云南建投第十建设有限公司绥江分公司   </w:t>
      </w:r>
      <w:r>
        <w:rPr>
          <w:rFonts w:hint="eastAsia" w:ascii="仿宋_GB2312" w:hAnsi="仿宋_GB2312" w:eastAsia="仿宋_GB2312" w:cs="仿宋_GB2312"/>
          <w:color w:val="auto"/>
          <w:sz w:val="24"/>
          <w:szCs w:val="24"/>
          <w:highlight w:val="none"/>
        </w:rPr>
        <w:t>（以下简称“甲方”）与本工程专业分包人：</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（以下简称：“乙方”）签订如下责任书。</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一、乙方必须坚持贯彻执行国家和工程所在地对环境保护相关的法律法规、规定及要求，严格按照关于环境保护及水土保持的相关要求进行施工作业。</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二、乙方必须制定防止大气、水土、噪声污染和改善环境卫生的有效措施，并安排人员负责环境保护及水土保持相关工作定期检查和督促整改工作。</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三、乙方进场后必需组织施工人员进行与环境保护相关法律.法规和要求的学习。</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四、乙方在施工中取土必须在指定料场取用，弃土必须运至指定地点，按要求堆放，防止水土流失，并应加强对施工便道的日常养护，不得随意开辟施工便道和扩大取土范围。</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五、乙方应采取一切合理措施保护施工现场内外的环境，严禁在施工现场焚烧各类废弃物，避免由于施工引起的粉尘、有害气体等对环境造成污染或沿线居民生产和生活造成不良影响。对业主.监理工程师及项目部环保管理人员在检查过程中发现的影响环境保护及水土保持的施工行为及时纠正。</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六、乙方在施工过程中要做到保护周围环境，防止水土流失；在公路建设用地范围之外未经批准不得砍伐树木、破坏耕地和沿线植被。</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七、乙方的施工现场、原材料料场、取土坑、弃土堆、拌合站、预制厂、库房、油库等驻地，施工结束后要根据环保要求对施工现场进行清理、修饰，尽可能的恢复原状。</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八、乙方应在施工现场设置排水沟及沉淀池，施工污水必须经沉淀后才能排入市政污水管网或河流。</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九、乙方在施工现场存放油料和化学溶剂等物品时，应设置专门的库房，地面应做防渗透处理。食堂必须设置隔油池，厕所必须设置化粪池并做抗渗处理。</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十、在城市（镇）内及附近有居民生活的区域施工时，乙方必须严格按规定限制夜间施工，确需在夜间施工的必须严格按规定提出申请，经有关部门批准后方可进行夜间施工。</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十一、检查评比及奖惩措施</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1.甲方每月对文明施工及环境保护进行评比一次。</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2.乙方未按要求进行环境保护，引起周围群众纠纷，造成恶劣影响，甚至被相关环境保护部门罚款处理的，责令乙方消除群众纠纷，除按环境保护部门相同罚款金额进行罚款外，并处以乙方负责人</w:t>
      </w:r>
      <w:r>
        <w:rPr>
          <w:rFonts w:hint="eastAsia" w:ascii="仿宋_GB2312" w:hAnsi="仿宋_GB2312" w:eastAsia="仿宋_GB2312" w:cs="仿宋_GB2312"/>
          <w:color w:val="auto"/>
          <w:sz w:val="24"/>
          <w:szCs w:val="24"/>
          <w:highlight w:val="none"/>
          <w:u w:val="single"/>
          <w:lang w:val="en-US" w:eastAsia="zh-CN"/>
        </w:rPr>
        <w:t xml:space="preserve">2000~5000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元罚款。</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本责任书一式</w:t>
      </w:r>
      <w:r>
        <w:rPr>
          <w:rFonts w:hint="eastAsia" w:ascii="仿宋_GB2312" w:hAnsi="仿宋_GB2312" w:eastAsia="仿宋_GB2312" w:cs="仿宋_GB2312"/>
          <w:color w:val="auto"/>
          <w:sz w:val="24"/>
          <w:szCs w:val="24"/>
          <w:highlight w:val="none"/>
          <w:lang w:val="en-US" w:eastAsia="zh-CN"/>
        </w:rPr>
        <w:t>陆</w:t>
      </w:r>
      <w:r>
        <w:rPr>
          <w:rFonts w:hint="eastAsia" w:ascii="仿宋_GB2312" w:hAnsi="仿宋_GB2312" w:eastAsia="仿宋_GB2312" w:cs="仿宋_GB2312"/>
          <w:color w:val="auto"/>
          <w:sz w:val="24"/>
          <w:szCs w:val="24"/>
          <w:highlight w:val="none"/>
        </w:rPr>
        <w:t>份，甲方</w:t>
      </w:r>
      <w:r>
        <w:rPr>
          <w:rFonts w:hint="eastAsia" w:ascii="仿宋_GB2312" w:hAnsi="仿宋_GB2312" w:eastAsia="仿宋_GB2312" w:cs="仿宋_GB2312"/>
          <w:color w:val="auto"/>
          <w:sz w:val="24"/>
          <w:szCs w:val="24"/>
          <w:highlight w:val="none"/>
          <w:lang w:val="en-US" w:eastAsia="zh-CN"/>
        </w:rPr>
        <w:t>肆</w:t>
      </w:r>
      <w:r>
        <w:rPr>
          <w:rFonts w:hint="eastAsia" w:ascii="仿宋_GB2312" w:hAnsi="仿宋_GB2312" w:eastAsia="仿宋_GB2312" w:cs="仿宋_GB2312"/>
          <w:color w:val="auto"/>
          <w:sz w:val="24"/>
          <w:szCs w:val="24"/>
          <w:highlight w:val="none"/>
        </w:rPr>
        <w:t>份，乙方</w:t>
      </w:r>
      <w:r>
        <w:rPr>
          <w:rFonts w:hint="eastAsia" w:ascii="仿宋_GB2312" w:hAnsi="仿宋_GB2312" w:eastAsia="仿宋_GB2312" w:cs="仿宋_GB2312"/>
          <w:color w:val="auto"/>
          <w:sz w:val="24"/>
          <w:szCs w:val="24"/>
          <w:highlight w:val="none"/>
          <w:lang w:val="en-US" w:eastAsia="zh-CN"/>
        </w:rPr>
        <w:t>贰</w:t>
      </w:r>
      <w:r>
        <w:rPr>
          <w:rFonts w:hint="eastAsia" w:ascii="仿宋_GB2312" w:hAnsi="仿宋_GB2312" w:eastAsia="仿宋_GB2312" w:cs="仿宋_GB2312"/>
          <w:color w:val="auto"/>
          <w:sz w:val="24"/>
          <w:szCs w:val="24"/>
          <w:highlight w:val="none"/>
        </w:rPr>
        <w:t>份，由甲.乙双方的法定代表人或其他授权的代理人签署盖章后生效，全部工程竣工验收结束后失效。</w:t>
      </w:r>
    </w:p>
    <w:p>
      <w:pPr>
        <w:pageBreakBefore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8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甲方（公章）：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乙方（公章）：</w:t>
      </w:r>
    </w:p>
    <w:p>
      <w:pPr>
        <w:keepNext w:val="0"/>
        <w:keepLines w:val="0"/>
        <w:pageBreakBefore w:val="0"/>
        <w:widowControl w:val="0"/>
        <w:kinsoku/>
        <w:wordWrap/>
        <w:overflowPunct/>
        <w:topLinePunct w:val="0"/>
        <w:autoSpaceDE/>
        <w:autoSpaceDN/>
        <w:bidi w:val="0"/>
        <w:adjustRightInd/>
        <w:snapToGrid/>
        <w:spacing w:line="48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云南建投第十建设有限公司绥江分公司</w:t>
      </w:r>
    </w:p>
    <w:p>
      <w:pPr>
        <w:keepNext w:val="0"/>
        <w:keepLines w:val="0"/>
        <w:pageBreakBefore w:val="0"/>
        <w:widowControl w:val="0"/>
        <w:kinsoku/>
        <w:wordWrap/>
        <w:overflowPunct/>
        <w:topLinePunct w:val="0"/>
        <w:autoSpaceDE/>
        <w:autoSpaceDN/>
        <w:bidi w:val="0"/>
        <w:adjustRightInd/>
        <w:snapToGrid/>
        <w:spacing w:line="480" w:lineRule="auto"/>
        <w:ind w:firstLine="360" w:firstLineChars="150"/>
        <w:textAlignment w:val="auto"/>
        <w:rPr>
          <w:rFonts w:hint="eastAsia" w:ascii="仿宋_GB2312" w:hAnsi="仿宋_GB2312" w:eastAsia="仿宋_GB2312" w:cs="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8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地址：云南省昭通市绥江县中城镇农业村7组      地  址：</w:t>
      </w:r>
    </w:p>
    <w:p>
      <w:pPr>
        <w:keepNext w:val="0"/>
        <w:keepLines w:val="0"/>
        <w:pageBreakBefore w:val="0"/>
        <w:widowControl w:val="0"/>
        <w:kinsoku/>
        <w:wordWrap/>
        <w:overflowPunct/>
        <w:topLinePunct w:val="0"/>
        <w:autoSpaceDE/>
        <w:autoSpaceDN/>
        <w:bidi w:val="0"/>
        <w:adjustRightInd/>
        <w:snapToGrid/>
        <w:spacing w:line="48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                         法定代表人：</w:t>
      </w:r>
    </w:p>
    <w:p>
      <w:pPr>
        <w:keepNext w:val="0"/>
        <w:keepLines w:val="0"/>
        <w:pageBreakBefore w:val="0"/>
        <w:widowControl w:val="0"/>
        <w:kinsoku/>
        <w:wordWrap/>
        <w:overflowPunct/>
        <w:topLinePunct w:val="0"/>
        <w:autoSpaceDE/>
        <w:autoSpaceDN/>
        <w:bidi w:val="0"/>
        <w:adjustRightInd/>
        <w:snapToGrid/>
        <w:spacing w:line="48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（或委托代理人）：                   （或委托代理人）：</w:t>
      </w:r>
    </w:p>
    <w:p>
      <w:pPr>
        <w:keepNext w:val="0"/>
        <w:keepLines w:val="0"/>
        <w:pageBreakBefore w:val="0"/>
        <w:widowControl w:val="0"/>
        <w:kinsoku/>
        <w:wordWrap/>
        <w:overflowPunct/>
        <w:topLinePunct w:val="0"/>
        <w:autoSpaceDE/>
        <w:autoSpaceDN/>
        <w:bidi w:val="0"/>
        <w:adjustRightInd/>
        <w:snapToGrid/>
        <w:spacing w:line="48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 系 电 话：                        联 系 电 话：</w:t>
      </w:r>
    </w:p>
    <w:p>
      <w:pPr>
        <w:keepNext w:val="0"/>
        <w:keepLines w:val="0"/>
        <w:pageBreakBefore w:val="0"/>
        <w:widowControl w:val="0"/>
        <w:kinsoku/>
        <w:wordWrap/>
        <w:overflowPunct/>
        <w:topLinePunct w:val="0"/>
        <w:autoSpaceDE/>
        <w:autoSpaceDN/>
        <w:bidi w:val="0"/>
        <w:adjustRightInd/>
        <w:snapToGrid/>
        <w:spacing w:line="48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      期：                         日      期：</w:t>
      </w:r>
    </w:p>
    <w:p>
      <w:pPr>
        <w:pageBreakBefore w:val="0"/>
        <w:widowControl/>
        <w:kinsoku/>
        <w:wordWrap/>
        <w:overflowPunct/>
        <w:topLinePunct w:val="0"/>
        <w:bidi w:val="0"/>
        <w:spacing w:line="360" w:lineRule="auto"/>
        <w:jc w:val="left"/>
        <w:outlineLvl w:val="1"/>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br w:type="page"/>
      </w:r>
      <w:bookmarkStart w:id="949" w:name="_Toc15794"/>
      <w:bookmarkStart w:id="950" w:name="_Toc13829"/>
      <w:bookmarkStart w:id="951" w:name="_Toc27695"/>
      <w:bookmarkStart w:id="952" w:name="_Toc17969"/>
      <w:bookmarkStart w:id="953" w:name="_Toc13171"/>
      <w:r>
        <w:rPr>
          <w:rStyle w:val="29"/>
          <w:rFonts w:hint="eastAsia"/>
          <w:color w:val="auto"/>
          <w:highlight w:val="none"/>
        </w:rPr>
        <w:t>附件</w:t>
      </w:r>
      <w:bookmarkEnd w:id="949"/>
      <w:r>
        <w:rPr>
          <w:rStyle w:val="29"/>
          <w:rFonts w:hint="eastAsia"/>
          <w:color w:val="auto"/>
          <w:highlight w:val="none"/>
          <w:lang w:val="en-US" w:eastAsia="zh-CN"/>
        </w:rPr>
        <w:t>七</w:t>
      </w:r>
      <w:r>
        <w:rPr>
          <w:rStyle w:val="29"/>
          <w:rFonts w:hint="eastAsia"/>
          <w:color w:val="auto"/>
          <w:highlight w:val="none"/>
        </w:rPr>
        <w:t xml:space="preserve"> </w:t>
      </w:r>
      <w:bookmarkEnd w:id="950"/>
      <w:bookmarkEnd w:id="951"/>
      <w:bookmarkEnd w:id="952"/>
      <w:bookmarkEnd w:id="953"/>
      <w:r>
        <w:rPr>
          <w:rFonts w:hint="eastAsia" w:ascii="仿宋_GB2312" w:hAnsi="仿宋_GB2312" w:eastAsia="仿宋_GB2312" w:cs="仿宋_GB2312"/>
          <w:b/>
          <w:bCs/>
          <w:color w:val="auto"/>
          <w:sz w:val="24"/>
          <w:szCs w:val="24"/>
          <w:highlight w:val="none"/>
          <w:lang w:val="en-US" w:eastAsia="zh-CN"/>
        </w:rPr>
        <w:t>关于农民工实名制管理的承诺函</w:t>
      </w:r>
    </w:p>
    <w:p>
      <w:pPr>
        <w:pageBreakBefore w:val="0"/>
        <w:kinsoku/>
        <w:wordWrap/>
        <w:overflowPunct/>
        <w:topLinePunct w:val="0"/>
        <w:bidi w:val="0"/>
        <w:spacing w:before="0" w:after="0" w:line="360" w:lineRule="auto"/>
        <w:jc w:val="center"/>
        <w:outlineLvl w:val="9"/>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auto"/>
          <w:sz w:val="28"/>
          <w:szCs w:val="28"/>
          <w:highlight w:val="none"/>
          <w:lang w:val="en-US" w:eastAsia="zh-CN"/>
        </w:rPr>
        <w:t>关于农民工实名制管理的承诺函</w:t>
      </w:r>
    </w:p>
    <w:p>
      <w:pPr>
        <w:pStyle w:val="21"/>
        <w:widowControl/>
        <w:spacing w:beforeAutospacing="0" w:after="240" w:afterAutospacing="0" w:line="560" w:lineRule="exact"/>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u w:val="single"/>
        </w:rPr>
        <w:t xml:space="preserve">   云南建投第十建设有限公司绥江分公司</w:t>
      </w:r>
      <w:r>
        <w:rPr>
          <w:rFonts w:hint="eastAsia" w:ascii="宋体" w:hAnsi="宋体" w:eastAsia="宋体" w:cs="宋体"/>
          <w:color w:val="auto"/>
          <w:sz w:val="21"/>
          <w:szCs w:val="21"/>
          <w:highlight w:val="none"/>
        </w:rPr>
        <w:t>：</w:t>
      </w:r>
    </w:p>
    <w:p>
      <w:pPr>
        <w:spacing w:line="56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我方已仔细研究了</w:t>
      </w:r>
      <w:r>
        <w:rPr>
          <w:rFonts w:hint="eastAsia" w:ascii="宋体" w:hAnsi="宋体" w:eastAsia="宋体" w:cs="宋体"/>
          <w:color w:val="auto"/>
          <w:sz w:val="21"/>
          <w:szCs w:val="21"/>
          <w:highlight w:val="none"/>
          <w:u w:val="single"/>
        </w:rPr>
        <w:t xml:space="preserve">     绥江县保障性租赁住房建设项目</w:t>
      </w:r>
      <w:r>
        <w:rPr>
          <w:rFonts w:hint="eastAsia" w:ascii="宋体" w:hAnsi="宋体" w:cs="宋体"/>
          <w:color w:val="auto"/>
          <w:sz w:val="21"/>
          <w:szCs w:val="21"/>
          <w:highlight w:val="none"/>
          <w:u w:val="single"/>
          <w:lang w:val="en-US" w:eastAsia="zh-CN"/>
        </w:rPr>
        <w:t>防水工程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专业分包招标文件的全部内容，在熟知合同条款及所有要求后，愿意遵守本承诺函中全部事项，按分包合同约定保质保量保工期实施和完成承包工程，按如下要求做好农民工实名制管理及农民工工资发放工作：</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1.我方对所招用农民工的实名制管理和工资支付负直接责任。严格按《保障农民工工资支付条例》规定做好农民工实名制及工资支付管理。</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2.我方确保依法与所招用的农民工签订书面劳动合同并进行用工实名登记，劳动合同相关条款及手续符合法律法规的相关规定</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劳动合同中严格约定日工资标准，临时用工按规定签订临时用工协议并</w:t>
      </w:r>
      <w:r>
        <w:rPr>
          <w:rFonts w:hint="eastAsia" w:ascii="宋体" w:hAnsi="宋体" w:eastAsia="宋体" w:cs="宋体"/>
          <w:color w:val="auto"/>
          <w:sz w:val="21"/>
          <w:szCs w:val="21"/>
          <w:highlight w:val="none"/>
        </w:rPr>
        <w:t>进行用工实名登记</w:t>
      </w:r>
      <w:r>
        <w:rPr>
          <w:rFonts w:hint="eastAsia" w:ascii="宋体" w:hAnsi="宋体" w:cs="宋体"/>
          <w:color w:val="auto"/>
          <w:sz w:val="21"/>
          <w:szCs w:val="21"/>
          <w:highlight w:val="none"/>
          <w:lang w:val="en-US" w:eastAsia="zh-CN"/>
        </w:rPr>
        <w:t>（工作期限3天内为临时用工）</w:t>
      </w:r>
      <w:r>
        <w:rPr>
          <w:rFonts w:hint="eastAsia" w:ascii="宋体" w:hAnsi="宋体" w:eastAsia="宋体" w:cs="宋体"/>
          <w:color w:val="auto"/>
          <w:sz w:val="21"/>
          <w:szCs w:val="21"/>
          <w:highlight w:val="none"/>
        </w:rPr>
        <w:t>。未与我方</w:t>
      </w:r>
      <w:r>
        <w:rPr>
          <w:rFonts w:hint="eastAsia" w:ascii="宋体" w:hAnsi="宋体" w:eastAsia="宋体" w:cs="宋体"/>
          <w:color w:val="auto"/>
          <w:sz w:val="21"/>
          <w:szCs w:val="21"/>
          <w:highlight w:val="none"/>
          <w:lang w:val="en-US" w:eastAsia="zh-CN"/>
        </w:rPr>
        <w:t>签</w:t>
      </w:r>
      <w:r>
        <w:rPr>
          <w:rFonts w:hint="eastAsia" w:ascii="宋体" w:hAnsi="宋体" w:eastAsia="宋体" w:cs="宋体"/>
          <w:color w:val="auto"/>
          <w:sz w:val="21"/>
          <w:szCs w:val="21"/>
          <w:highlight w:val="none"/>
        </w:rPr>
        <w:t>定劳动合同</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临时用工协议</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并进行用工实名登记的人员，不得进入项目现场施工，若违反，由我方承担造成的一切经济法律责任。</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无条件配合总包单位开设农民工工资专用账户，为所招用农民工办理好指定银行的工资卡，并委托总承包单位代发农民工工资，同时保证及时将工资卡发放至农民工本人手中，不以任何理由扣押或变相扣押。</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4.我方严格做好工人进场前的入场登记并配合做好农民工入场前的安全教育工作，确保无一遗漏。</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5.我方派专人负责农民工上、下班的考勤打卡，做到“有进有出”，</w:t>
      </w:r>
      <w:r>
        <w:rPr>
          <w:rFonts w:hint="eastAsia" w:ascii="宋体" w:hAnsi="宋体" w:cs="宋体"/>
          <w:color w:val="auto"/>
          <w:sz w:val="21"/>
          <w:szCs w:val="21"/>
          <w:highlight w:val="none"/>
          <w:lang w:val="en-US" w:eastAsia="zh-CN"/>
        </w:rPr>
        <w:t>实名制系统考勤为唯一考勤依据，</w:t>
      </w:r>
      <w:r>
        <w:rPr>
          <w:rFonts w:hint="eastAsia" w:ascii="宋体" w:hAnsi="宋体" w:eastAsia="宋体" w:cs="宋体"/>
          <w:color w:val="auto"/>
          <w:sz w:val="21"/>
          <w:szCs w:val="21"/>
          <w:highlight w:val="none"/>
        </w:rPr>
        <w:t>出现未严格执行</w:t>
      </w:r>
      <w:r>
        <w:rPr>
          <w:rFonts w:hint="eastAsia" w:ascii="宋体" w:hAnsi="宋体" w:cs="宋体"/>
          <w:color w:val="auto"/>
          <w:sz w:val="21"/>
          <w:szCs w:val="21"/>
          <w:highlight w:val="none"/>
          <w:lang w:val="en-US" w:eastAsia="zh-CN"/>
        </w:rPr>
        <w:t>系统</w:t>
      </w:r>
      <w:r>
        <w:rPr>
          <w:rFonts w:hint="eastAsia" w:ascii="宋体" w:hAnsi="宋体" w:eastAsia="宋体" w:cs="宋体"/>
          <w:color w:val="auto"/>
          <w:sz w:val="21"/>
          <w:szCs w:val="21"/>
          <w:highlight w:val="none"/>
        </w:rPr>
        <w:t>考勤的工人及时清退出场，并承担由此造成的所有经济法律责任。</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6.我方确保农民工工资表如实按月编制，投标价（合同价）已考虑我方须代扣代缴的一切费用（包括但不限于农民工个人所得税、保险费等），</w:t>
      </w:r>
      <w:r>
        <w:rPr>
          <w:rFonts w:hint="eastAsia" w:ascii="宋体" w:hAnsi="宋体" w:cs="宋体"/>
          <w:color w:val="auto"/>
          <w:sz w:val="21"/>
          <w:szCs w:val="21"/>
          <w:highlight w:val="none"/>
          <w:lang w:val="en-US" w:eastAsia="zh-CN"/>
        </w:rPr>
        <w:t>同时将相关资料交招标人备案，并</w:t>
      </w:r>
      <w:r>
        <w:rPr>
          <w:rFonts w:hint="eastAsia" w:ascii="宋体" w:hAnsi="宋体" w:eastAsia="宋体" w:cs="宋体"/>
          <w:color w:val="auto"/>
          <w:sz w:val="21"/>
          <w:szCs w:val="21"/>
          <w:highlight w:val="none"/>
        </w:rPr>
        <w:t>对工资表的真实性负责。</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7.我方确保工资表人员信息与实名制系统中的考勤信息一致，</w:t>
      </w:r>
      <w:r>
        <w:rPr>
          <w:rFonts w:hint="eastAsia" w:ascii="宋体" w:hAnsi="宋体" w:cs="宋体"/>
          <w:color w:val="auto"/>
          <w:sz w:val="21"/>
          <w:szCs w:val="21"/>
          <w:highlight w:val="none"/>
          <w:lang w:val="en-US" w:eastAsia="zh-CN"/>
        </w:rPr>
        <w:t>严格</w:t>
      </w:r>
      <w:r>
        <w:rPr>
          <w:rFonts w:hint="eastAsia" w:ascii="宋体" w:hAnsi="宋体" w:eastAsia="宋体" w:cs="宋体"/>
          <w:color w:val="auto"/>
          <w:sz w:val="21"/>
          <w:szCs w:val="21"/>
          <w:highlight w:val="none"/>
        </w:rPr>
        <w:t>根据实名制系统考勤</w:t>
      </w:r>
      <w:r>
        <w:rPr>
          <w:rFonts w:hint="eastAsia" w:ascii="宋体" w:hAnsi="宋体" w:cs="宋体"/>
          <w:color w:val="auto"/>
          <w:sz w:val="21"/>
          <w:szCs w:val="21"/>
          <w:highlight w:val="none"/>
          <w:lang w:val="en-US" w:eastAsia="zh-CN"/>
        </w:rPr>
        <w:t>及合同中约定的日工资</w:t>
      </w:r>
      <w:r>
        <w:rPr>
          <w:rFonts w:hint="eastAsia" w:ascii="宋体" w:hAnsi="宋体" w:eastAsia="宋体" w:cs="宋体"/>
          <w:color w:val="auto"/>
          <w:sz w:val="21"/>
          <w:szCs w:val="21"/>
          <w:highlight w:val="none"/>
        </w:rPr>
        <w:t>编制工资支付表，</w:t>
      </w:r>
      <w:r>
        <w:rPr>
          <w:rFonts w:hint="eastAsia" w:ascii="宋体" w:hAnsi="宋体" w:cs="宋体"/>
          <w:color w:val="auto"/>
          <w:sz w:val="21"/>
          <w:szCs w:val="21"/>
          <w:highlight w:val="none"/>
          <w:lang w:val="en-US" w:eastAsia="zh-CN"/>
        </w:rPr>
        <w:t>系统考勤与劳动合同（临时用工协议）为工资发放依据，二者缺一不可，工资表、考勤表</w:t>
      </w:r>
      <w:r>
        <w:rPr>
          <w:rFonts w:hint="eastAsia" w:ascii="宋体" w:hAnsi="宋体" w:eastAsia="宋体" w:cs="宋体"/>
          <w:color w:val="auto"/>
          <w:sz w:val="21"/>
          <w:szCs w:val="21"/>
          <w:highlight w:val="none"/>
        </w:rPr>
        <w:t>经农民工本人签字确认后，与当月工程进度等情况一并交施工总承包单位进行农民工工资代发。</w:t>
      </w:r>
    </w:p>
    <w:p>
      <w:pPr>
        <w:spacing w:line="560" w:lineRule="exact"/>
        <w:ind w:firstLine="420" w:firstLineChars="200"/>
        <w:rPr>
          <w:rFonts w:hint="eastAsia" w:ascii="仿宋_GB2312" w:hAnsi="仿宋_GB2312" w:eastAsia="仿宋_GB2312" w:cs="仿宋_GB2312"/>
          <w:color w:val="auto"/>
          <w:sz w:val="24"/>
          <w:szCs w:val="24"/>
          <w:highlight w:val="none"/>
          <w:lang w:val="en-US" w:eastAsia="zh-CN"/>
        </w:rPr>
      </w:pPr>
      <w:r>
        <w:rPr>
          <w:rFonts w:hint="eastAsia" w:ascii="宋体" w:hAnsi="宋体" w:eastAsia="宋体" w:cs="宋体"/>
          <w:color w:val="auto"/>
          <w:sz w:val="21"/>
          <w:szCs w:val="21"/>
          <w:highlight w:val="none"/>
          <w:lang w:val="en-US" w:eastAsia="zh-CN"/>
        </w:rPr>
        <w:t>8</w:t>
      </w:r>
      <w:r>
        <w:rPr>
          <w:rFonts w:hint="eastAsia" w:ascii="宋体" w:hAnsi="宋体" w:cs="宋体"/>
          <w:color w:val="auto"/>
          <w:sz w:val="21"/>
          <w:szCs w:val="21"/>
          <w:highlight w:val="none"/>
          <w:lang w:val="en-US" w:eastAsia="zh-CN"/>
        </w:rPr>
        <w:t>.我方承</w:t>
      </w:r>
      <w:r>
        <w:rPr>
          <w:rFonts w:hint="default" w:ascii="宋体" w:hAnsi="宋体" w:cs="宋体"/>
          <w:color w:val="auto"/>
          <w:sz w:val="21"/>
          <w:szCs w:val="21"/>
          <w:highlight w:val="none"/>
          <w:lang w:val="en-US" w:eastAsia="zh-CN"/>
        </w:rPr>
        <w:t>诺严格按</w:t>
      </w:r>
      <w:r>
        <w:rPr>
          <w:rFonts w:hint="eastAsia" w:ascii="宋体" w:hAnsi="宋体" w:cs="宋体"/>
          <w:color w:val="auto"/>
          <w:sz w:val="21"/>
          <w:szCs w:val="21"/>
          <w:highlight w:val="none"/>
          <w:lang w:val="en-US" w:eastAsia="zh-CN"/>
        </w:rPr>
        <w:t>贵司合同分账管理</w:t>
      </w:r>
      <w:r>
        <w:rPr>
          <w:rFonts w:hint="default" w:ascii="宋体" w:hAnsi="宋体" w:cs="宋体"/>
          <w:color w:val="auto"/>
          <w:sz w:val="21"/>
          <w:szCs w:val="21"/>
          <w:highlight w:val="none"/>
          <w:lang w:val="en-US" w:eastAsia="zh-CN"/>
        </w:rPr>
        <w:t>及相关</w:t>
      </w:r>
      <w:r>
        <w:rPr>
          <w:rFonts w:hint="eastAsia" w:ascii="宋体" w:hAnsi="宋体" w:cs="宋体"/>
          <w:color w:val="auto"/>
          <w:sz w:val="21"/>
          <w:szCs w:val="21"/>
          <w:highlight w:val="none"/>
          <w:lang w:val="en-US" w:eastAsia="zh-CN"/>
        </w:rPr>
        <w:t>要求，人工费款项按分账占比全额拨付至专户，项目实施过程中不支付到我公司账户，若人工费款项不够支付农民工工资时，我方承诺贵司优先从非人工费款项中代扣代付。</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.我方确保配合总承包单位及时做好农民工退场工作，办理好退场手续，签订《农民工退场确认表》。</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我方承诺因上述任何一条情况发生，导致农民工工资不能正常发放，造成的一切后果由我方承担，保证不发生停工、扰乱政府机构、招标人及下属单位、项目部正常生产经营和办公生活秩序的行为及有损招标人社会形象（含不当舆论）的行为，包括不限于围堵（堵门、堵路）、冲击、强占办公场所和生产（施工）场所；拦截车辆、堵塞或阻断交通；侮辱、殴打工作人员或非法限制他人自由；不在非接待场所静坐、长时间滞留、不将生活不能自理的人员弃留在接待场所或拉挂标语、横幅等情况。</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若发生上述任何一条情况，每发生一次我方自愿接受招标人2-10万元违约处罚，具体金额根据前述行为的严重性由招标人决定，我方无条件接受。同时前述行为造成严重影响的（包括但不限于我方擅自停工超过3天），招标人有权单方解除合同，我方自愿承担合同金额10%的违约金，并赔偿由此给招标人造成的一切损失，接受招标人“先退场，后清算”的管理要求。</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.本承诺函作为双方合同组成部分，对我方具有与合同同等法律效力。</w:t>
      </w:r>
    </w:p>
    <w:p>
      <w:pPr>
        <w:outlineLvl w:val="9"/>
        <w:rPr>
          <w:rFonts w:hint="eastAsia" w:ascii="宋体" w:hAnsi="宋体" w:eastAsia="宋体" w:cs="宋体"/>
          <w:color w:val="auto"/>
          <w:highlight w:val="none"/>
        </w:rPr>
      </w:pPr>
    </w:p>
    <w:p>
      <w:pPr>
        <w:spacing w:line="560" w:lineRule="exact"/>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spacing w:line="560" w:lineRule="exact"/>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pPr>
        <w:jc w:val="right"/>
        <w:rPr>
          <w:color w:val="auto"/>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spacing w:line="560" w:lineRule="exact"/>
        <w:jc w:val="right"/>
        <w:rPr>
          <w:rFonts w:hint="eastAsia" w:ascii="宋体" w:hAnsi="宋体" w:eastAsia="宋体" w:cs="宋体"/>
          <w:color w:val="auto"/>
          <w:sz w:val="21"/>
          <w:szCs w:val="21"/>
          <w:highlight w:val="none"/>
        </w:rPr>
      </w:pPr>
    </w:p>
    <w:p>
      <w:pPr>
        <w:pageBreakBefore w:val="0"/>
        <w:kinsoku/>
        <w:wordWrap/>
        <w:overflowPunct/>
        <w:topLinePunct w:val="0"/>
        <w:bidi w:val="0"/>
        <w:spacing w:line="360" w:lineRule="auto"/>
        <w:jc w:val="left"/>
        <w:outlineLvl w:val="9"/>
        <w:rPr>
          <w:rFonts w:hint="eastAsia" w:ascii="仿宋_GB2312" w:hAnsi="仿宋_GB2312" w:eastAsia="仿宋_GB2312" w:cs="仿宋_GB2312"/>
          <w:bCs w:val="0"/>
          <w:color w:val="auto"/>
          <w:sz w:val="24"/>
          <w:szCs w:val="24"/>
          <w:highlight w:val="none"/>
          <w:lang w:val="en-US" w:eastAsia="zh-CN"/>
        </w:rPr>
      </w:pPr>
      <w:r>
        <w:rPr>
          <w:rFonts w:hint="eastAsia" w:ascii="仿宋_GB2312" w:hAnsi="仿宋_GB2312" w:eastAsia="仿宋_GB2312" w:cs="仿宋_GB2312"/>
          <w:color w:val="auto"/>
          <w:sz w:val="24"/>
          <w:szCs w:val="24"/>
          <w:highlight w:val="none"/>
        </w:rPr>
        <w:br w:type="page"/>
      </w:r>
      <w:bookmarkStart w:id="954" w:name="_Toc16207"/>
      <w:bookmarkStart w:id="955" w:name="_Toc17292"/>
      <w:bookmarkStart w:id="956" w:name="_Toc25794"/>
    </w:p>
    <w:p>
      <w:pPr>
        <w:pStyle w:val="28"/>
        <w:bidi w:val="0"/>
        <w:outlineLvl w:val="1"/>
        <w:rPr>
          <w:rFonts w:hint="eastAsia"/>
          <w:color w:val="auto"/>
          <w:highlight w:val="none"/>
        </w:rPr>
      </w:pPr>
      <w:bookmarkStart w:id="957" w:name="_Toc24045"/>
      <w:bookmarkStart w:id="958" w:name="_Toc4876"/>
      <w:r>
        <w:rPr>
          <w:rFonts w:hint="eastAsia"/>
          <w:color w:val="auto"/>
          <w:highlight w:val="none"/>
        </w:rPr>
        <w:t>附件</w:t>
      </w:r>
      <w:bookmarkEnd w:id="954"/>
      <w:r>
        <w:rPr>
          <w:rFonts w:hint="eastAsia"/>
          <w:color w:val="auto"/>
          <w:highlight w:val="none"/>
          <w:lang w:val="en-US" w:eastAsia="zh-CN"/>
        </w:rPr>
        <w:t>八</w:t>
      </w:r>
      <w:r>
        <w:rPr>
          <w:rFonts w:hint="eastAsia"/>
          <w:color w:val="auto"/>
          <w:highlight w:val="none"/>
        </w:rPr>
        <w:t xml:space="preserve"> 质量保修书</w:t>
      </w:r>
      <w:bookmarkEnd w:id="955"/>
      <w:bookmarkEnd w:id="956"/>
      <w:bookmarkEnd w:id="957"/>
      <w:bookmarkEnd w:id="958"/>
    </w:p>
    <w:p>
      <w:pPr>
        <w:pageBreakBefore w:val="0"/>
        <w:kinsoku/>
        <w:wordWrap/>
        <w:overflowPunct/>
        <w:topLinePunct w:val="0"/>
        <w:bidi w:val="0"/>
        <w:spacing w:line="360" w:lineRule="auto"/>
        <w:ind w:firstLine="3092" w:firstLineChars="1100"/>
        <w:jc w:val="both"/>
        <w:rPr>
          <w:rFonts w:hint="eastAsia" w:ascii="仿宋_GB2312" w:hAnsi="仿宋_GB2312" w:eastAsia="仿宋_GB2312" w:cs="仿宋_GB2312"/>
          <w:b/>
          <w:bCs/>
          <w:color w:val="auto"/>
          <w:sz w:val="28"/>
          <w:szCs w:val="28"/>
          <w:highlight w:val="none"/>
        </w:rPr>
      </w:pPr>
      <w:bookmarkStart w:id="959" w:name="_Toc23738_WPSOffice_Level1"/>
      <w:bookmarkStart w:id="960" w:name="_Toc16846_WPSOffice_Level1"/>
      <w:r>
        <w:rPr>
          <w:rFonts w:hint="eastAsia" w:ascii="仿宋_GB2312" w:hAnsi="仿宋_GB2312" w:eastAsia="仿宋_GB2312" w:cs="仿宋_GB2312"/>
          <w:b/>
          <w:bCs/>
          <w:color w:val="auto"/>
          <w:sz w:val="28"/>
          <w:szCs w:val="28"/>
          <w:highlight w:val="none"/>
        </w:rPr>
        <w:t>质量保修书</w:t>
      </w:r>
      <w:bookmarkEnd w:id="959"/>
      <w:bookmarkEnd w:id="960"/>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工程承包人：</w:t>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u w:val="single"/>
        </w:rPr>
        <w:t xml:space="preserve">云南建投第十建设有限公司绥江分公司   </w:t>
      </w:r>
      <w:r>
        <w:rPr>
          <w:rFonts w:hint="eastAsia" w:ascii="仿宋_GB2312" w:hAnsi="仿宋_GB2312" w:eastAsia="仿宋_GB2312" w:cs="仿宋_GB2312"/>
          <w:color w:val="auto"/>
          <w:sz w:val="24"/>
          <w:szCs w:val="24"/>
          <w:highlight w:val="none"/>
        </w:rPr>
        <w:t>（以下简称“甲方”）</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专业分包人：</w:t>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（以下简称“乙方”）</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甲、乙双方根据《中华人民共和国建筑法》《建设工程质量管理条例》,经协商一致，对工程专业分包合同签订工程质量保修书。</w:t>
      </w:r>
    </w:p>
    <w:p>
      <w:pPr>
        <w:keepNext w:val="0"/>
        <w:keepLines w:val="0"/>
        <w:pageBreakBefore w:val="0"/>
        <w:widowControl w:val="0"/>
        <w:kinsoku/>
        <w:wordWrap/>
        <w:overflowPunct/>
        <w:topLinePunct w:val="0"/>
        <w:autoSpaceDE/>
        <w:autoSpaceDN/>
        <w:bidi w:val="0"/>
        <w:adjustRightInd/>
        <w:snapToGrid/>
        <w:spacing w:line="312"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一、工程质量保修范围和内容</w:t>
      </w:r>
    </w:p>
    <w:p>
      <w:pPr>
        <w:keepNext w:val="0"/>
        <w:keepLines w:val="0"/>
        <w:pageBreakBefore w:val="0"/>
        <w:widowControl w:val="0"/>
        <w:kinsoku/>
        <w:wordWrap/>
        <w:overflowPunct/>
        <w:topLinePunct w:val="0"/>
        <w:autoSpaceDE/>
        <w:autoSpaceDN/>
        <w:bidi w:val="0"/>
        <w:adjustRightInd/>
        <w:snapToGrid/>
        <w:spacing w:line="312"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按照《建设工程质量管理条例》及有关法律.法规.规章的管理规定，双方约定由乙方施工单位在质量保修内，承担本工程的质量保修责任。</w:t>
      </w:r>
    </w:p>
    <w:p>
      <w:pPr>
        <w:keepNext w:val="0"/>
        <w:keepLines w:val="0"/>
        <w:pageBreakBefore w:val="0"/>
        <w:widowControl w:val="0"/>
        <w:kinsoku/>
        <w:wordWrap/>
        <w:overflowPunct/>
        <w:topLinePunct w:val="0"/>
        <w:autoSpaceDE/>
        <w:autoSpaceDN/>
        <w:bidi w:val="0"/>
        <w:adjustRightInd/>
        <w:snapToGrid/>
        <w:spacing w:line="312"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二、质量保修期</w:t>
      </w:r>
    </w:p>
    <w:p>
      <w:pPr>
        <w:keepNext w:val="0"/>
        <w:keepLines w:val="0"/>
        <w:pageBreakBefore w:val="0"/>
        <w:widowControl w:val="0"/>
        <w:kinsoku/>
        <w:wordWrap/>
        <w:overflowPunct/>
        <w:topLinePunct w:val="0"/>
        <w:autoSpaceDE/>
        <w:autoSpaceDN/>
        <w:bidi w:val="0"/>
        <w:adjustRightInd/>
        <w:snapToGrid/>
        <w:spacing w:line="312"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根据《建设工程质量管理条例》及有关规定，约定本工程的质量保修期为：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5</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年，</w:t>
      </w:r>
    </w:p>
    <w:p>
      <w:pPr>
        <w:keepNext w:val="0"/>
        <w:keepLines w:val="0"/>
        <w:pageBreakBefore w:val="0"/>
        <w:widowControl w:val="0"/>
        <w:kinsoku/>
        <w:wordWrap/>
        <w:overflowPunct/>
        <w:topLinePunct w:val="0"/>
        <w:autoSpaceDE/>
        <w:autoSpaceDN/>
        <w:bidi w:val="0"/>
        <w:adjustRightInd/>
        <w:snapToGrid/>
        <w:spacing w:line="312" w:lineRule="auto"/>
        <w:ind w:firstLine="360" w:firstLineChars="15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质量保修期自交工验收合格之日起计算。</w:t>
      </w:r>
    </w:p>
    <w:p>
      <w:pPr>
        <w:keepNext w:val="0"/>
        <w:keepLines w:val="0"/>
        <w:pageBreakBefore w:val="0"/>
        <w:widowControl w:val="0"/>
        <w:kinsoku/>
        <w:wordWrap/>
        <w:overflowPunct/>
        <w:topLinePunct w:val="0"/>
        <w:autoSpaceDE/>
        <w:autoSpaceDN/>
        <w:bidi w:val="0"/>
        <w:adjustRightInd/>
        <w:snapToGrid/>
        <w:spacing w:line="312"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三、质量保修责任</w:t>
      </w:r>
    </w:p>
    <w:p>
      <w:pPr>
        <w:keepNext w:val="0"/>
        <w:keepLines w:val="0"/>
        <w:pageBreakBefore w:val="0"/>
        <w:widowControl w:val="0"/>
        <w:kinsoku/>
        <w:wordWrap/>
        <w:overflowPunct/>
        <w:topLinePunct w:val="0"/>
        <w:autoSpaceDE/>
        <w:autoSpaceDN/>
        <w:bidi w:val="0"/>
        <w:adjustRightInd/>
        <w:snapToGrid/>
        <w:spacing w:line="312"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1.属于保修范围.内容的项目，乙方应对在接到保修通知之日起7天内派人保修。乙方不在约定期内派人保修的，甲方可以委托他人修理。</w:t>
      </w:r>
    </w:p>
    <w:p>
      <w:pPr>
        <w:keepNext w:val="0"/>
        <w:keepLines w:val="0"/>
        <w:pageBreakBefore w:val="0"/>
        <w:widowControl w:val="0"/>
        <w:kinsoku/>
        <w:wordWrap/>
        <w:overflowPunct/>
        <w:topLinePunct w:val="0"/>
        <w:autoSpaceDE/>
        <w:autoSpaceDN/>
        <w:bidi w:val="0"/>
        <w:adjustRightInd/>
        <w:snapToGrid/>
        <w:spacing w:line="312"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2.发生紧急抢修事故的，乙方在接到事故通知后，应当立即到达事故现场抢修。</w:t>
      </w:r>
    </w:p>
    <w:p>
      <w:pPr>
        <w:keepNext w:val="0"/>
        <w:keepLines w:val="0"/>
        <w:pageBreakBefore w:val="0"/>
        <w:widowControl w:val="0"/>
        <w:kinsoku/>
        <w:wordWrap/>
        <w:overflowPunct/>
        <w:topLinePunct w:val="0"/>
        <w:autoSpaceDE/>
        <w:autoSpaceDN/>
        <w:bidi w:val="0"/>
        <w:adjustRightInd/>
        <w:snapToGrid/>
        <w:spacing w:line="312"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3.对于涉及结构安全的质量问题，应当立即向当地建设行政主管部门报告，采取安全防范措施；由原设计单位或者具有相应资质等级的设计单位提出保修方案，由乙方实施保修。</w:t>
      </w:r>
    </w:p>
    <w:p>
      <w:pPr>
        <w:keepNext w:val="0"/>
        <w:keepLines w:val="0"/>
        <w:pageBreakBefore w:val="0"/>
        <w:widowControl w:val="0"/>
        <w:kinsoku/>
        <w:wordWrap/>
        <w:overflowPunct/>
        <w:topLinePunct w:val="0"/>
        <w:autoSpaceDE/>
        <w:autoSpaceDN/>
        <w:bidi w:val="0"/>
        <w:adjustRightInd/>
        <w:snapToGrid/>
        <w:spacing w:line="312"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四、违约责任保修费用</w:t>
      </w:r>
    </w:p>
    <w:p>
      <w:pPr>
        <w:keepNext w:val="0"/>
        <w:keepLines w:val="0"/>
        <w:pageBreakBefore w:val="0"/>
        <w:widowControl w:val="0"/>
        <w:kinsoku/>
        <w:wordWrap/>
        <w:overflowPunct/>
        <w:topLinePunct w:val="0"/>
        <w:autoSpaceDE/>
        <w:autoSpaceDN/>
        <w:bidi w:val="0"/>
        <w:adjustRightInd/>
        <w:snapToGrid/>
        <w:spacing w:line="312"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保修费用由造成质量缺陷的责任方承担。</w:t>
      </w:r>
    </w:p>
    <w:p>
      <w:pPr>
        <w:keepNext w:val="0"/>
        <w:keepLines w:val="0"/>
        <w:pageBreakBefore w:val="0"/>
        <w:widowControl w:val="0"/>
        <w:kinsoku/>
        <w:wordWrap/>
        <w:overflowPunct/>
        <w:topLinePunct w:val="0"/>
        <w:autoSpaceDE/>
        <w:autoSpaceDN/>
        <w:bidi w:val="0"/>
        <w:adjustRightInd/>
        <w:snapToGrid/>
        <w:spacing w:line="312"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五、其他</w:t>
      </w:r>
    </w:p>
    <w:p>
      <w:pPr>
        <w:keepNext w:val="0"/>
        <w:keepLines w:val="0"/>
        <w:pageBreakBefore w:val="0"/>
        <w:widowControl w:val="0"/>
        <w:kinsoku/>
        <w:wordWrap/>
        <w:overflowPunct/>
        <w:topLinePunct w:val="0"/>
        <w:autoSpaceDE/>
        <w:autoSpaceDN/>
        <w:bidi w:val="0"/>
        <w:adjustRightInd/>
        <w:snapToGrid/>
        <w:spacing w:line="312"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双方约定的其他工程质量保修事项：</w:t>
      </w:r>
    </w:p>
    <w:p>
      <w:pPr>
        <w:keepNext w:val="0"/>
        <w:keepLines w:val="0"/>
        <w:pageBreakBefore w:val="0"/>
        <w:widowControl w:val="0"/>
        <w:kinsoku/>
        <w:wordWrap/>
        <w:overflowPunct/>
        <w:topLinePunct w:val="0"/>
        <w:autoSpaceDE/>
        <w:autoSpaceDN/>
        <w:bidi w:val="0"/>
        <w:adjustRightInd/>
        <w:snapToGrid/>
        <w:spacing w:line="312"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六、本工程质量保修书与工程专业分包合同共同签署，作为工程专业分包合同附件，其有效期限至保修期满。</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甲方（公章）：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乙方（公章）：</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云南建投第十建设有限公司绥江分公司</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地址：云南省昭通市绥江县中城镇农业村7组      地  址：</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                         法定代表人：</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（或委托代理人）：                   （或委托代理人）：</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 系 电 话：                        联 系 电 话：</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      期：                         日      期：</w:t>
      </w:r>
    </w:p>
    <w:p>
      <w:pPr>
        <w:pageBreakBefore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br w:type="page"/>
      </w:r>
    </w:p>
    <w:p>
      <w:pPr>
        <w:pStyle w:val="28"/>
        <w:bidi w:val="0"/>
        <w:outlineLvl w:val="1"/>
        <w:rPr>
          <w:rFonts w:hint="eastAsia"/>
          <w:color w:val="auto"/>
          <w:highlight w:val="none"/>
        </w:rPr>
      </w:pPr>
      <w:bookmarkStart w:id="961" w:name="_Toc9445"/>
      <w:bookmarkStart w:id="962" w:name="_Toc15998"/>
      <w:r>
        <w:rPr>
          <w:rFonts w:hint="eastAsia"/>
          <w:color w:val="auto"/>
          <w:highlight w:val="none"/>
        </w:rPr>
        <w:t>附件</w:t>
      </w:r>
      <w:r>
        <w:rPr>
          <w:rFonts w:hint="eastAsia"/>
          <w:color w:val="auto"/>
          <w:highlight w:val="none"/>
          <w:lang w:val="en-US" w:eastAsia="zh-CN"/>
        </w:rPr>
        <w:t>九</w:t>
      </w:r>
      <w:r>
        <w:rPr>
          <w:rFonts w:hint="eastAsia"/>
          <w:color w:val="auto"/>
          <w:highlight w:val="none"/>
        </w:rPr>
        <w:t xml:space="preserve"> 社会治安综合治理责任书</w:t>
      </w:r>
      <w:bookmarkEnd w:id="961"/>
      <w:bookmarkEnd w:id="962"/>
    </w:p>
    <w:p>
      <w:pPr>
        <w:pageBreakBefore w:val="0"/>
        <w:kinsoku/>
        <w:wordWrap/>
        <w:overflowPunct/>
        <w:topLinePunct w:val="0"/>
        <w:bidi w:val="0"/>
        <w:spacing w:line="360" w:lineRule="auto"/>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社会治安综合治理责任书</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为进一步加强和规范项目施工现场综治管理，减少各类治安案件和其他事故的发生，推进平安工程建设，确保企业和社会和谐稳定，按照“谁主管谁负责、谁聘用谁负责、谁带队谁负责”的原则，现就</w:t>
      </w:r>
      <w:r>
        <w:rPr>
          <w:rFonts w:hint="eastAsia" w:ascii="仿宋_GB2312" w:hAnsi="仿宋_GB2312" w:eastAsia="仿宋_GB2312" w:cs="仿宋_GB2312"/>
          <w:color w:val="auto"/>
          <w:sz w:val="24"/>
          <w:szCs w:val="24"/>
          <w:highlight w:val="none"/>
          <w:u w:val="single"/>
          <w:lang w:val="en-US" w:eastAsia="zh-CN"/>
        </w:rPr>
        <w:t>防水</w:t>
      </w:r>
      <w:r>
        <w:rPr>
          <w:rFonts w:hint="eastAsia" w:ascii="仿宋_GB2312" w:hAnsi="仿宋_GB2312" w:eastAsia="仿宋_GB2312" w:cs="仿宋_GB2312"/>
          <w:color w:val="auto"/>
          <w:sz w:val="24"/>
          <w:szCs w:val="24"/>
          <w:highlight w:val="none"/>
        </w:rPr>
        <w:t>分包工程签订社会治安综合治理责任书。</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工程承包人：</w:t>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u w:val="single"/>
        </w:rPr>
        <w:t xml:space="preserve">云南建投第十建设有限公司绥江分公司   </w:t>
      </w:r>
      <w:r>
        <w:rPr>
          <w:rFonts w:hint="eastAsia" w:ascii="仿宋_GB2312" w:hAnsi="仿宋_GB2312" w:eastAsia="仿宋_GB2312" w:cs="仿宋_GB2312"/>
          <w:color w:val="auto"/>
          <w:sz w:val="24"/>
          <w:szCs w:val="24"/>
          <w:highlight w:val="none"/>
        </w:rPr>
        <w:t>（以下简称“甲方”）</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专业分包人：</w:t>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（以下简称“乙方”）</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一、责任内容</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乙方要认真贯彻落实国家和地方各级政府制定的各项方针政策、法律法规和相关管理规定，落实各项安全保卫制度、消防管理制度、施工安全应急预案等规章制度；要经常对使用的务工人员进行遵纪守法教育，增强法制观念，遵守国家法律、法规及本单位内部、甲方及甲方项目部的各项规章制度。</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乙方招聘的务工人员时必须做到来源清、情况明，不得有违法犯罪嫌疑及涉黑涉恶人员；健康状况不能满足作业需要的务工人员一律不得录用；严禁使用无证人员及童工。若违反，由乙方承担一切后果和法律责任。</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乙方必须配合甲方或甲方项目部劳资部门、保卫部门及劳资、保工工作人员对所有务工人员登记造册和备案，外来人员还应及时与工程项目所在地派出所联系并做好流动人口基础信息采集工作，及时办理流动人口暂住证。</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（四）乙方应管好自己人，看好自己门，妥善保管好本单位的财、物及工具设备等。</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（五）不准作业人员带小孩及无关人员进入工地现场，不准在工地现场存放不用于工程及不明来历的物品，若发生意外一切后果乙方自行承担。</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（六）乙方要经常对其人员进行防火安全知识宣传教育、消防技能培训，开展防火安全检查，严禁在工地现场及宿舍内私拉乱接电源线路等。</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（七）乙方务工人员不得发生偷窃、哄抢、流氓、斗殴、赌博、酗酒闹事、吸食或注射毒品等违法犯罪行为。</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（八）乙方务工人员在工地现场工作和生活期间，必须遵守各项规章制度，服从甲方及甲方项目部相关管理人员的管理和安排。</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（九）如遇刑事、治安案件发生，乙方应协助和配合甲方项目部保护好现场，抢救受伤人员和保护物资财产安全，协助和配合公安机关做好侦查和处理工作。</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十）乙方应建立和完善农民工实名制录用登记和工资支付管理等制度，规范劳动用工行为，如实记录施工现场作业农民工的进出场信息、身份信息（工种、身份证号、住址、联系方式、不良行为记录等）、劳动考勤、工资结算（包括应发和已发工资情况）、工资支付单位、时间、对象、数额等支付情况，并保存备查，预防和杜绝因拖欠农民工工资而引发群体性事件。</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（十</w:t>
      </w:r>
      <w:r>
        <w:rPr>
          <w:rFonts w:hint="eastAsia" w:ascii="仿宋_GB2312" w:hAnsi="仿宋_GB2312" w:eastAsia="仿宋_GB2312" w:cs="仿宋_GB2312"/>
          <w:color w:val="auto"/>
          <w:sz w:val="24"/>
          <w:szCs w:val="24"/>
          <w:highlight w:val="none"/>
          <w:lang w:eastAsia="zh-CN"/>
        </w:rPr>
        <w:t>一</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乙方不得组织、纵容所属务工人员</w:t>
      </w:r>
      <w:r>
        <w:rPr>
          <w:rFonts w:hint="eastAsia" w:ascii="仿宋_GB2312" w:hAnsi="仿宋_GB2312" w:eastAsia="仿宋_GB2312" w:cs="仿宋_GB2312"/>
          <w:color w:val="auto"/>
          <w:sz w:val="24"/>
          <w:szCs w:val="24"/>
          <w:highlight w:val="none"/>
        </w:rPr>
        <w:t>发生破坏正常生产经营和办公生活秩序</w:t>
      </w:r>
      <w:r>
        <w:rPr>
          <w:rFonts w:hint="eastAsia" w:ascii="仿宋_GB2312" w:hAnsi="仿宋_GB2312" w:eastAsia="仿宋_GB2312" w:cs="仿宋_GB2312"/>
          <w:color w:val="auto"/>
          <w:sz w:val="24"/>
          <w:szCs w:val="24"/>
          <w:highlight w:val="none"/>
          <w:lang w:eastAsia="zh-CN"/>
        </w:rPr>
        <w:t>及</w:t>
      </w:r>
      <w:r>
        <w:rPr>
          <w:rFonts w:hint="eastAsia" w:ascii="仿宋_GB2312" w:hAnsi="仿宋_GB2312" w:eastAsia="仿宋_GB2312" w:cs="仿宋_GB2312"/>
          <w:color w:val="auto"/>
          <w:sz w:val="24"/>
          <w:szCs w:val="24"/>
          <w:highlight w:val="none"/>
        </w:rPr>
        <w:t>有损</w:t>
      </w:r>
      <w:r>
        <w:rPr>
          <w:rFonts w:hint="eastAsia" w:ascii="仿宋_GB2312" w:hAnsi="仿宋_GB2312" w:eastAsia="仿宋_GB2312" w:cs="仿宋_GB2312"/>
          <w:color w:val="auto"/>
          <w:sz w:val="24"/>
          <w:szCs w:val="24"/>
          <w:highlight w:val="none"/>
          <w:lang w:eastAsia="zh-CN"/>
        </w:rPr>
        <w:t>甲方、业主方、监理方、政府等</w:t>
      </w:r>
      <w:r>
        <w:rPr>
          <w:rFonts w:hint="eastAsia" w:ascii="仿宋_GB2312" w:hAnsi="仿宋_GB2312" w:eastAsia="仿宋_GB2312" w:cs="仿宋_GB2312"/>
          <w:color w:val="auto"/>
          <w:sz w:val="24"/>
          <w:szCs w:val="24"/>
          <w:highlight w:val="none"/>
        </w:rPr>
        <w:t>社会形象的行为，包括围堵（堵门、堵路）、冲击、强占</w:t>
      </w:r>
      <w:r>
        <w:rPr>
          <w:rFonts w:hint="eastAsia" w:ascii="仿宋_GB2312" w:hAnsi="仿宋_GB2312" w:eastAsia="仿宋_GB2312" w:cs="仿宋_GB2312"/>
          <w:color w:val="auto"/>
          <w:sz w:val="24"/>
          <w:szCs w:val="24"/>
          <w:highlight w:val="none"/>
          <w:lang w:eastAsia="zh-CN"/>
        </w:rPr>
        <w:t>甲方、业主方、监理方、政府办公机构等</w:t>
      </w:r>
      <w:r>
        <w:rPr>
          <w:rFonts w:hint="eastAsia" w:ascii="仿宋_GB2312" w:hAnsi="仿宋_GB2312" w:eastAsia="仿宋_GB2312" w:cs="仿宋_GB2312"/>
          <w:color w:val="auto"/>
          <w:sz w:val="24"/>
          <w:szCs w:val="24"/>
          <w:highlight w:val="none"/>
        </w:rPr>
        <w:t>办公场所和生产（施工）场所；拦截车辆、堵塞或阻断</w:t>
      </w:r>
      <w:r>
        <w:rPr>
          <w:rFonts w:hint="eastAsia" w:ascii="仿宋_GB2312" w:hAnsi="仿宋_GB2312" w:eastAsia="仿宋_GB2312" w:cs="仿宋_GB2312"/>
          <w:color w:val="auto"/>
          <w:sz w:val="24"/>
          <w:szCs w:val="24"/>
          <w:highlight w:val="none"/>
          <w:lang w:eastAsia="zh-CN"/>
        </w:rPr>
        <w:t>施工场地及公共</w:t>
      </w:r>
      <w:r>
        <w:rPr>
          <w:rFonts w:hint="eastAsia" w:ascii="仿宋_GB2312" w:hAnsi="仿宋_GB2312" w:eastAsia="仿宋_GB2312" w:cs="仿宋_GB2312"/>
          <w:color w:val="auto"/>
          <w:sz w:val="24"/>
          <w:szCs w:val="24"/>
          <w:highlight w:val="none"/>
        </w:rPr>
        <w:t>交通；侮辱、殴打</w:t>
      </w:r>
      <w:r>
        <w:rPr>
          <w:rFonts w:hint="eastAsia" w:ascii="仿宋_GB2312" w:hAnsi="仿宋_GB2312" w:eastAsia="仿宋_GB2312" w:cs="仿宋_GB2312"/>
          <w:color w:val="auto"/>
          <w:sz w:val="24"/>
          <w:szCs w:val="24"/>
          <w:highlight w:val="none"/>
          <w:lang w:eastAsia="zh-CN"/>
        </w:rPr>
        <w:t>甲方、业主方、监理方、政府等</w:t>
      </w:r>
      <w:r>
        <w:rPr>
          <w:rFonts w:hint="eastAsia" w:ascii="仿宋_GB2312" w:hAnsi="仿宋_GB2312" w:eastAsia="仿宋_GB2312" w:cs="仿宋_GB2312"/>
          <w:color w:val="auto"/>
          <w:sz w:val="24"/>
          <w:szCs w:val="24"/>
          <w:highlight w:val="none"/>
        </w:rPr>
        <w:t>工作人员或非法限制他人自由；禁止在非接待场所静坐、长时间滞留</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将生活不能自理的人员弃留在接待场所或拉挂标语、横幅等情况。</w:t>
      </w:r>
      <w:r>
        <w:rPr>
          <w:rFonts w:hint="eastAsia" w:ascii="仿宋_GB2312" w:hAnsi="仿宋_GB2312" w:eastAsia="仿宋_GB2312" w:cs="仿宋_GB2312"/>
          <w:color w:val="auto"/>
          <w:sz w:val="24"/>
          <w:szCs w:val="24"/>
          <w:highlight w:val="none"/>
          <w:lang w:eastAsia="zh-CN"/>
        </w:rPr>
        <w:t>若所属务工人员发生以上情况，分包单位、分包单位负责人及参与人员必须承但因违反《中华人民共和国治安管理处罚法》、《信访条例》等规定应承担的法律责任，必须承担因对他人（单位及个人）权益构成侵害（包括经济或财产损失、名誉、个人人身自由等）应承担的民事责任。</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二、奖罚</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（一）对“见义勇为”及治安管理有较好突出表现的务工人员，由甲方项目部及分包单位予以表彰和奖励。</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（二）对不按规定使用务工人员及违法使用童工的，除责令辞退外，每发现一人（次）由甲方保卫部门或劳资部门或甲方项目部对分包单位处以</w:t>
      </w:r>
      <w:r>
        <w:rPr>
          <w:rFonts w:hint="eastAsia" w:ascii="仿宋_GB2312" w:hAnsi="仿宋_GB2312" w:eastAsia="仿宋_GB2312" w:cs="仿宋_GB2312"/>
          <w:color w:val="auto"/>
          <w:sz w:val="24"/>
          <w:szCs w:val="24"/>
          <w:highlight w:val="none"/>
          <w:u w:val="single"/>
          <w:lang w:val="en-US" w:eastAsia="zh-CN"/>
        </w:rPr>
        <w:t>2000</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元罚款。</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（三）对在工地现场宿舍内私拉乱接、违规使用电器、使用明火的，查获一起罚款</w:t>
      </w:r>
      <w:r>
        <w:rPr>
          <w:rFonts w:hint="eastAsia" w:ascii="仿宋_GB2312" w:hAnsi="仿宋_GB2312" w:eastAsia="仿宋_GB2312" w:cs="仿宋_GB2312"/>
          <w:color w:val="auto"/>
          <w:sz w:val="24"/>
          <w:szCs w:val="24"/>
          <w:highlight w:val="none"/>
          <w:u w:val="single"/>
          <w:lang w:val="en-US" w:eastAsia="zh-CN"/>
        </w:rPr>
        <w:t>1000</w:t>
      </w:r>
      <w:r>
        <w:rPr>
          <w:rFonts w:hint="eastAsia" w:ascii="仿宋_GB2312" w:hAnsi="仿宋_GB2312" w:eastAsia="仿宋_GB2312" w:cs="仿宋_GB2312"/>
          <w:color w:val="auto"/>
          <w:sz w:val="24"/>
          <w:szCs w:val="24"/>
          <w:highlight w:val="none"/>
        </w:rPr>
        <w:t>元。</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（四）乙方务工人员若发生偷窃甲方及施工现场其他作业方财物行为的，查获一起，除追究当事人责任、赔偿损失外，对分包单位处以</w:t>
      </w:r>
      <w:r>
        <w:rPr>
          <w:rFonts w:hint="eastAsia" w:ascii="仿宋_GB2312" w:hAnsi="仿宋_GB2312" w:eastAsia="仿宋_GB2312" w:cs="仿宋_GB2312"/>
          <w:color w:val="auto"/>
          <w:sz w:val="24"/>
          <w:szCs w:val="24"/>
          <w:highlight w:val="none"/>
          <w:u w:val="single"/>
          <w:lang w:val="en-US" w:eastAsia="zh-CN"/>
        </w:rPr>
        <w:t>5000</w:t>
      </w:r>
      <w:r>
        <w:rPr>
          <w:rFonts w:hint="eastAsia" w:ascii="仿宋_GB2312" w:hAnsi="仿宋_GB2312" w:eastAsia="仿宋_GB2312" w:cs="仿宋_GB2312"/>
          <w:color w:val="auto"/>
          <w:sz w:val="24"/>
          <w:szCs w:val="24"/>
          <w:highlight w:val="none"/>
        </w:rPr>
        <w:t>元罚款。</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（五）乙方务工人员若发生打架、斗殴、闹事等事件的，乙方负责说服教育、及时疏导矛盾，维护社会和谐稳定，对不听劝阻仍然严重闹事者，限期清出本项目工地现场，并对乙方处</w:t>
      </w:r>
      <w:r>
        <w:rPr>
          <w:rFonts w:hint="eastAsia" w:ascii="仿宋_GB2312" w:hAnsi="仿宋_GB2312" w:eastAsia="仿宋_GB2312" w:cs="仿宋_GB2312"/>
          <w:color w:val="auto"/>
          <w:sz w:val="24"/>
          <w:szCs w:val="24"/>
          <w:highlight w:val="none"/>
          <w:u w:val="single"/>
        </w:rPr>
        <w:t>_</w:t>
      </w:r>
      <w:r>
        <w:rPr>
          <w:rFonts w:hint="eastAsia" w:ascii="仿宋_GB2312" w:hAnsi="仿宋_GB2312" w:eastAsia="仿宋_GB2312" w:cs="仿宋_GB2312"/>
          <w:color w:val="auto"/>
          <w:sz w:val="24"/>
          <w:szCs w:val="24"/>
          <w:highlight w:val="none"/>
          <w:u w:val="single"/>
          <w:lang w:val="en-US" w:eastAsia="zh-CN"/>
        </w:rPr>
        <w:t>500</w:t>
      </w:r>
      <w:r>
        <w:rPr>
          <w:rFonts w:hint="eastAsia" w:ascii="仿宋_GB2312" w:hAnsi="仿宋_GB2312" w:eastAsia="仿宋_GB2312" w:cs="仿宋_GB2312"/>
          <w:color w:val="auto"/>
          <w:sz w:val="24"/>
          <w:szCs w:val="24"/>
          <w:highlight w:val="none"/>
          <w:u w:val="single"/>
        </w:rPr>
        <w:t>_</w:t>
      </w:r>
      <w:r>
        <w:rPr>
          <w:rFonts w:hint="eastAsia" w:ascii="仿宋_GB2312" w:hAnsi="仿宋_GB2312" w:eastAsia="仿宋_GB2312" w:cs="仿宋_GB2312"/>
          <w:color w:val="auto"/>
          <w:sz w:val="24"/>
          <w:szCs w:val="24"/>
          <w:highlight w:val="none"/>
        </w:rPr>
        <w:t xml:space="preserve">元／（每次）罚款。 </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（六）乙方务工人员</w:t>
      </w:r>
      <w:r>
        <w:rPr>
          <w:rFonts w:hint="eastAsia" w:ascii="仿宋_GB2312" w:hAnsi="仿宋_GB2312" w:eastAsia="仿宋_GB2312" w:cs="仿宋_GB2312"/>
          <w:color w:val="auto"/>
          <w:sz w:val="24"/>
          <w:szCs w:val="24"/>
          <w:highlight w:val="none"/>
          <w:lang w:eastAsia="zh-CN"/>
        </w:rPr>
        <w:t>因</w:t>
      </w:r>
      <w:r>
        <w:rPr>
          <w:rFonts w:hint="eastAsia" w:ascii="仿宋_GB2312" w:hAnsi="仿宋_GB2312" w:eastAsia="仿宋_GB2312" w:cs="仿宋_GB2312"/>
          <w:color w:val="auto"/>
          <w:sz w:val="24"/>
          <w:szCs w:val="24"/>
          <w:highlight w:val="none"/>
        </w:rPr>
        <w:t>工资拖欠</w:t>
      </w:r>
      <w:r>
        <w:rPr>
          <w:rFonts w:hint="eastAsia" w:ascii="仿宋_GB2312" w:hAnsi="仿宋_GB2312" w:eastAsia="仿宋_GB2312" w:cs="仿宋_GB2312"/>
          <w:color w:val="auto"/>
          <w:sz w:val="24"/>
          <w:szCs w:val="24"/>
          <w:highlight w:val="none"/>
          <w:lang w:eastAsia="zh-CN"/>
        </w:rPr>
        <w:t>等问题</w:t>
      </w:r>
      <w:r>
        <w:rPr>
          <w:rFonts w:hint="eastAsia" w:ascii="仿宋_GB2312" w:hAnsi="仿宋_GB2312" w:eastAsia="仿宋_GB2312" w:cs="仿宋_GB2312"/>
          <w:color w:val="auto"/>
          <w:sz w:val="24"/>
          <w:szCs w:val="24"/>
          <w:highlight w:val="none"/>
        </w:rPr>
        <w:t>可以通过正常程序反映合理诉求。若出现因工资</w:t>
      </w:r>
      <w:r>
        <w:rPr>
          <w:rFonts w:hint="eastAsia" w:ascii="仿宋_GB2312" w:hAnsi="仿宋_GB2312" w:eastAsia="仿宋_GB2312" w:cs="仿宋_GB2312"/>
          <w:color w:val="auto"/>
          <w:sz w:val="24"/>
          <w:szCs w:val="24"/>
          <w:highlight w:val="none"/>
          <w:lang w:eastAsia="zh-CN"/>
        </w:rPr>
        <w:t>拖欠等</w:t>
      </w:r>
      <w:r>
        <w:rPr>
          <w:rFonts w:hint="eastAsia" w:ascii="仿宋_GB2312" w:hAnsi="仿宋_GB2312" w:eastAsia="仿宋_GB2312" w:cs="仿宋_GB2312"/>
          <w:color w:val="auto"/>
          <w:sz w:val="24"/>
          <w:szCs w:val="24"/>
          <w:highlight w:val="none"/>
        </w:rPr>
        <w:t>问题聚众至甲方、业主方</w:t>
      </w:r>
      <w:r>
        <w:rPr>
          <w:rFonts w:hint="eastAsia" w:ascii="仿宋_GB2312" w:hAnsi="仿宋_GB2312" w:eastAsia="仿宋_GB2312" w:cs="仿宋_GB2312"/>
          <w:color w:val="auto"/>
          <w:sz w:val="24"/>
          <w:szCs w:val="24"/>
          <w:highlight w:val="none"/>
          <w:lang w:eastAsia="zh-CN"/>
        </w:rPr>
        <w:t>、监理方、政府办公机构</w:t>
      </w:r>
      <w:r>
        <w:rPr>
          <w:rFonts w:hint="eastAsia" w:ascii="仿宋_GB2312" w:hAnsi="仿宋_GB2312" w:eastAsia="仿宋_GB2312" w:cs="仿宋_GB2312"/>
          <w:color w:val="auto"/>
          <w:sz w:val="24"/>
          <w:szCs w:val="24"/>
          <w:highlight w:val="none"/>
        </w:rPr>
        <w:t>及工地现场恶意讨薪、围堵、扯拉布标横幅、聚众闹事，影响正常工作秩序、生产经营的，每发生一次对分包单位处以</w:t>
      </w:r>
      <w:r>
        <w:rPr>
          <w:rFonts w:hint="eastAsia" w:ascii="仿宋_GB2312" w:hAnsi="仿宋_GB2312" w:eastAsia="仿宋_GB2312" w:cs="仿宋_GB2312"/>
          <w:color w:val="auto"/>
          <w:sz w:val="24"/>
          <w:szCs w:val="24"/>
          <w:highlight w:val="none"/>
          <w:lang w:val="en-US" w:eastAsia="zh-CN"/>
        </w:rPr>
        <w:t>1000</w:t>
      </w:r>
      <w:r>
        <w:rPr>
          <w:rFonts w:hint="eastAsia" w:ascii="仿宋_GB2312" w:hAnsi="仿宋_GB2312" w:eastAsia="仿宋_GB2312" w:cs="仿宋_GB2312"/>
          <w:color w:val="auto"/>
          <w:sz w:val="24"/>
          <w:szCs w:val="24"/>
          <w:highlight w:val="none"/>
        </w:rPr>
        <w:t>元罚款；同时视其程度及性质报请有关部门处置</w:t>
      </w:r>
      <w:r>
        <w:rPr>
          <w:rFonts w:hint="eastAsia" w:ascii="仿宋_GB2312" w:hAnsi="仿宋_GB2312" w:eastAsia="仿宋_GB2312" w:cs="仿宋_GB2312"/>
          <w:color w:val="auto"/>
          <w:sz w:val="24"/>
          <w:szCs w:val="24"/>
          <w:highlight w:val="none"/>
          <w:lang w:eastAsia="zh-CN"/>
        </w:rPr>
        <w:t>，依法追究分包单位、分包单位负责人、参与聚众闹事人员法律责任。</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三、本责任书一式</w:t>
      </w:r>
      <w:r>
        <w:rPr>
          <w:rFonts w:hint="eastAsia" w:ascii="仿宋_GB2312" w:hAnsi="仿宋_GB2312" w:eastAsia="仿宋_GB2312" w:cs="仿宋_GB2312"/>
          <w:color w:val="auto"/>
          <w:sz w:val="24"/>
          <w:szCs w:val="24"/>
          <w:highlight w:val="none"/>
          <w:lang w:val="en-US" w:eastAsia="zh-CN"/>
        </w:rPr>
        <w:t>陆</w:t>
      </w:r>
      <w:r>
        <w:rPr>
          <w:rFonts w:hint="eastAsia" w:ascii="仿宋_GB2312" w:hAnsi="仿宋_GB2312" w:eastAsia="仿宋_GB2312" w:cs="仿宋_GB2312"/>
          <w:color w:val="auto"/>
          <w:sz w:val="24"/>
          <w:szCs w:val="24"/>
          <w:highlight w:val="none"/>
        </w:rPr>
        <w:t>份，甲方</w:t>
      </w:r>
      <w:r>
        <w:rPr>
          <w:rFonts w:hint="eastAsia" w:ascii="仿宋_GB2312" w:hAnsi="仿宋_GB2312" w:eastAsia="仿宋_GB2312" w:cs="仿宋_GB2312"/>
          <w:color w:val="auto"/>
          <w:sz w:val="24"/>
          <w:szCs w:val="24"/>
          <w:highlight w:val="none"/>
          <w:lang w:val="en-US" w:eastAsia="zh-CN"/>
        </w:rPr>
        <w:t>肆</w:t>
      </w:r>
      <w:r>
        <w:rPr>
          <w:rFonts w:hint="eastAsia" w:ascii="仿宋_GB2312" w:hAnsi="仿宋_GB2312" w:eastAsia="仿宋_GB2312" w:cs="仿宋_GB2312"/>
          <w:color w:val="auto"/>
          <w:sz w:val="24"/>
          <w:szCs w:val="24"/>
          <w:highlight w:val="none"/>
        </w:rPr>
        <w:t>份，乙方</w:t>
      </w:r>
      <w:r>
        <w:rPr>
          <w:rFonts w:hint="eastAsia" w:ascii="仿宋_GB2312" w:hAnsi="仿宋_GB2312" w:eastAsia="仿宋_GB2312" w:cs="仿宋_GB2312"/>
          <w:color w:val="auto"/>
          <w:sz w:val="24"/>
          <w:szCs w:val="24"/>
          <w:highlight w:val="none"/>
          <w:lang w:val="en-US" w:eastAsia="zh-CN"/>
        </w:rPr>
        <w:t>贰</w:t>
      </w:r>
      <w:r>
        <w:rPr>
          <w:rFonts w:hint="eastAsia" w:ascii="仿宋_GB2312" w:hAnsi="仿宋_GB2312" w:eastAsia="仿宋_GB2312" w:cs="仿宋_GB2312"/>
          <w:color w:val="auto"/>
          <w:sz w:val="24"/>
          <w:szCs w:val="24"/>
          <w:highlight w:val="none"/>
        </w:rPr>
        <w:t>份。</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四、本责任书自签订之日起生效，工程项目分包合同失效时本责任书自动解除。</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甲方（公章）：                       乙方（公章）：</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       址：                        地        址：</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                         法定代表人：</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（或委托代理人）：                   （或委托代理人）：</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 系 电 话：                        联 系 电 话：</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      期：                         日      期：</w:t>
      </w:r>
    </w:p>
    <w:p>
      <w:pPr>
        <w:pageBreakBefore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br w:type="page"/>
      </w:r>
    </w:p>
    <w:p>
      <w:pPr>
        <w:pStyle w:val="28"/>
        <w:bidi w:val="0"/>
        <w:outlineLvl w:val="1"/>
        <w:rPr>
          <w:rFonts w:hint="eastAsia"/>
          <w:color w:val="auto"/>
          <w:highlight w:val="none"/>
        </w:rPr>
      </w:pPr>
      <w:bookmarkStart w:id="963" w:name="_Toc12490"/>
      <w:bookmarkStart w:id="964" w:name="_Toc7867"/>
      <w:r>
        <w:rPr>
          <w:rFonts w:hint="eastAsia"/>
          <w:color w:val="auto"/>
          <w:highlight w:val="none"/>
          <w:lang w:val="en-US" w:eastAsia="zh-CN"/>
        </w:rPr>
        <w:t xml:space="preserve">附件十 </w:t>
      </w:r>
      <w:r>
        <w:rPr>
          <w:rFonts w:hint="eastAsia"/>
          <w:color w:val="auto"/>
          <w:highlight w:val="none"/>
        </w:rPr>
        <w:t>关于严禁采取停工、围堵等恶劣方式解决合同纠纷的承诺函</w:t>
      </w:r>
      <w:bookmarkEnd w:id="963"/>
      <w:bookmarkEnd w:id="964"/>
    </w:p>
    <w:p>
      <w:pPr>
        <w:pStyle w:val="11"/>
        <w:pageBreakBefore w:val="0"/>
        <w:kinsoku/>
        <w:wordWrap/>
        <w:overflowPunct/>
        <w:topLinePunct w:val="0"/>
        <w:bidi w:val="0"/>
        <w:spacing w:line="360" w:lineRule="auto"/>
        <w:jc w:val="center"/>
        <w:outlineLvl w:val="9"/>
        <w:rPr>
          <w:rFonts w:hint="eastAsia" w:ascii="仿宋_GB2312" w:hAnsi="仿宋_GB2312" w:eastAsia="仿宋_GB2312" w:cs="仿宋_GB2312"/>
          <w:b/>
          <w:bCs/>
          <w:color w:val="auto"/>
          <w:sz w:val="28"/>
          <w:szCs w:val="28"/>
          <w:highlight w:val="none"/>
        </w:rPr>
      </w:pPr>
    </w:p>
    <w:p>
      <w:pPr>
        <w:pStyle w:val="11"/>
        <w:pageBreakBefore w:val="0"/>
        <w:kinsoku/>
        <w:wordWrap/>
        <w:overflowPunct/>
        <w:topLinePunct w:val="0"/>
        <w:bidi w:val="0"/>
        <w:spacing w:line="360" w:lineRule="auto"/>
        <w:jc w:val="center"/>
        <w:outlineLvl w:val="9"/>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关于严禁采取停工、围堵等恶劣方式解决合同纠纷的承诺函</w:t>
      </w:r>
    </w:p>
    <w:p>
      <w:pPr>
        <w:pageBreakBefore w:val="0"/>
        <w:kinsoku/>
        <w:wordWrap/>
        <w:overflowPunct/>
        <w:topLinePunct w:val="0"/>
        <w:bidi w:val="0"/>
        <w:spacing w:line="360" w:lineRule="auto"/>
        <w:ind w:left="-199" w:leftChars="-95" w:right="-92" w:rightChars="-44" w:firstLine="144" w:firstLineChars="45"/>
        <w:rPr>
          <w:rFonts w:hint="eastAsia" w:ascii="宋体" w:hAnsi="宋体" w:eastAsia="宋体" w:cs="宋体"/>
          <w:color w:val="auto"/>
          <w:sz w:val="32"/>
          <w:szCs w:val="32"/>
          <w:highlight w:val="none"/>
          <w:u w:val="single"/>
        </w:rPr>
      </w:pPr>
    </w:p>
    <w:p>
      <w:pPr>
        <w:pageBreakBefore w:val="0"/>
        <w:kinsoku/>
        <w:wordWrap/>
        <w:overflowPunct/>
        <w:topLinePunct w:val="0"/>
        <w:bidi w:val="0"/>
        <w:spacing w:line="360" w:lineRule="auto"/>
        <w:ind w:left="-199" w:leftChars="-95" w:right="-92" w:rightChars="-44" w:firstLine="94" w:firstLineChars="4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云南建投第十建设有限公司绥江分公司</w:t>
      </w:r>
      <w:r>
        <w:rPr>
          <w:rFonts w:hint="eastAsia" w:ascii="宋体" w:hAnsi="宋体" w:eastAsia="宋体" w:cs="宋体"/>
          <w:color w:val="auto"/>
          <w:sz w:val="21"/>
          <w:szCs w:val="21"/>
          <w:highlight w:val="none"/>
        </w:rPr>
        <w:t>：</w:t>
      </w:r>
    </w:p>
    <w:p>
      <w:pPr>
        <w:pageBreakBefore w:val="0"/>
        <w:kinsoku/>
        <w:wordWrap/>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我方已仔细研究了</w:t>
      </w:r>
      <w:r>
        <w:rPr>
          <w:rFonts w:hint="eastAsia" w:ascii="宋体" w:hAnsi="宋体" w:eastAsia="宋体" w:cs="宋体"/>
          <w:color w:val="auto"/>
          <w:sz w:val="21"/>
          <w:szCs w:val="21"/>
          <w:highlight w:val="none"/>
          <w:u w:val="single"/>
        </w:rPr>
        <w:t xml:space="preserve">   绥江县保障性租赁住房建设项目</w:t>
      </w:r>
      <w:r>
        <w:rPr>
          <w:rFonts w:hint="eastAsia" w:ascii="宋体" w:hAnsi="宋体" w:cs="宋体"/>
          <w:color w:val="auto"/>
          <w:sz w:val="21"/>
          <w:szCs w:val="21"/>
          <w:highlight w:val="none"/>
          <w:u w:val="single"/>
          <w:lang w:val="en-US" w:eastAsia="zh-CN"/>
        </w:rPr>
        <w:t>防水工程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专业分包招标文件的全部内容，在熟知合同条款及所有要求后，愿意遵守本承诺函中全部事项，按分包合同约定保质保量保工期实施和完成承包工程。</w:t>
      </w:r>
    </w:p>
    <w:p>
      <w:pPr>
        <w:pageBreakBefore w:val="0"/>
        <w:kinsoku/>
        <w:wordWrap/>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一、如我方中标：</w:t>
      </w:r>
    </w:p>
    <w:p>
      <w:pPr>
        <w:pageBreakBefore w:val="0"/>
        <w:numPr>
          <w:ilvl w:val="0"/>
          <w:numId w:val="9"/>
        </w:numPr>
        <w:kinsoku/>
        <w:wordWrap/>
        <w:overflowPunct/>
        <w:topLinePunct w:val="0"/>
        <w:bidi w:val="0"/>
        <w:spacing w:line="360" w:lineRule="auto"/>
        <w:ind w:lef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我方承诺不将中标的工程内容转包或违法分包给第三方。若发生上述情况，招标人可单方面解除合同。我方承担由此带来的一切损失。</w:t>
      </w:r>
    </w:p>
    <w:p>
      <w:pPr>
        <w:pageBreakBefore w:val="0"/>
        <w:numPr>
          <w:ilvl w:val="0"/>
          <w:numId w:val="9"/>
        </w:numPr>
        <w:kinsoku/>
        <w:wordWrap/>
        <w:overflowPunct/>
        <w:topLinePunct w:val="0"/>
        <w:bidi w:val="0"/>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我方承诺坚决服从项目部的指挥和安排，在分包合同约定的期限内完成并移交全部合同工程，保证不发生停工及消极怠工等行为。</w:t>
      </w:r>
    </w:p>
    <w:p>
      <w:pPr>
        <w:pageBreakBefore w:val="0"/>
        <w:numPr>
          <w:ilvl w:val="0"/>
          <w:numId w:val="9"/>
        </w:numPr>
        <w:kinsoku/>
        <w:wordWrap/>
        <w:overflowPunct/>
        <w:topLinePunct w:val="0"/>
        <w:bidi w:val="0"/>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若履行合同发生争议，通过协商方式解决，保证不发生扰乱政府机构、云南建投集团及下属单位、项目部正常生产经营和办公生活秩序的行为及有损云南建投集团及下属单位社会形象（含不当舆论）的行为，包括不限于围堵（堵门、堵路）、冲击、强占办公场所和生产（施工）场所；拦截车辆、堵塞或阻断交通；侮辱、殴打工作人员或非法限制他人自由；不在非接待场所静坐、长时间滞留、不将生活不能自理的人员弃留在接待场所或拉挂标语、横幅等情况。</w:t>
      </w:r>
    </w:p>
    <w:p>
      <w:pPr>
        <w:pageBreakBefore w:val="0"/>
        <w:numPr>
          <w:ilvl w:val="0"/>
          <w:numId w:val="9"/>
        </w:numPr>
        <w:kinsoku/>
        <w:wordWrap/>
        <w:overflowPunct/>
        <w:topLinePunct w:val="0"/>
        <w:bidi w:val="0"/>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若发生上述（二）、（三）情况，每发生一次我方自愿接受招标人10-50万元违约处罚，具体金额根据前述行为的严重性由招标人决定，我方无条件接受。</w:t>
      </w:r>
    </w:p>
    <w:p>
      <w:pPr>
        <w:pageBreakBefore w:val="0"/>
        <w:numPr>
          <w:ilvl w:val="0"/>
          <w:numId w:val="9"/>
        </w:numPr>
        <w:kinsoku/>
        <w:wordWrap/>
        <w:overflowPunct/>
        <w:topLinePunct w:val="0"/>
        <w:bidi w:val="0"/>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我方擅自停工超过10天，招标人有权单方解除合同，我方自愿承担合同金额10%的违约金，并赔偿由此给招标人造成的一切损失。同时我方接受招标人“先退场，后清算”的管理要求，退场清算原则遵从：</w:t>
      </w:r>
    </w:p>
    <w:p>
      <w:pPr>
        <w:pStyle w:val="23"/>
        <w:pageBreakBefore w:val="0"/>
        <w:numPr>
          <w:ilvl w:val="0"/>
          <w:numId w:val="10"/>
        </w:numPr>
        <w:kinsoku/>
        <w:wordWrap/>
        <w:overflowPunct/>
        <w:topLinePunct w:val="0"/>
        <w:bidi w:val="0"/>
        <w:spacing w:after="0" w:line="360" w:lineRule="auto"/>
        <w:ind w:left="0" w:leftChars="0"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履约完成现阶段工作面所有工作内容，形成验收合格的完整工序，符合检验批的验收，验收合格的实体工程按合同约定结算；</w:t>
      </w:r>
    </w:p>
    <w:p>
      <w:pPr>
        <w:pStyle w:val="23"/>
        <w:pageBreakBefore w:val="0"/>
        <w:numPr>
          <w:ilvl w:val="0"/>
          <w:numId w:val="10"/>
        </w:numPr>
        <w:kinsoku/>
        <w:wordWrap/>
        <w:overflowPunct/>
        <w:topLinePunct w:val="0"/>
        <w:bidi w:val="0"/>
        <w:spacing w:after="0" w:line="360" w:lineRule="auto"/>
        <w:ind w:left="0" w:leftChars="0"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未履约形成完整工序的工作面参照合同据实结算；</w:t>
      </w:r>
    </w:p>
    <w:p>
      <w:pPr>
        <w:pStyle w:val="23"/>
        <w:pageBreakBefore w:val="0"/>
        <w:numPr>
          <w:ilvl w:val="0"/>
          <w:numId w:val="10"/>
        </w:numPr>
        <w:kinsoku/>
        <w:wordWrap/>
        <w:overflowPunct/>
        <w:topLinePunct w:val="0"/>
        <w:bidi w:val="0"/>
        <w:spacing w:after="0" w:line="360" w:lineRule="auto"/>
        <w:ind w:left="0" w:leftChars="0" w:firstLine="64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合同中未约定的合理诉求项双方协商确定合理价格，</w:t>
      </w:r>
      <w:r>
        <w:rPr>
          <w:rFonts w:hint="eastAsia" w:ascii="宋体" w:hAnsi="宋体" w:eastAsia="宋体" w:cs="宋体"/>
          <w:color w:val="auto"/>
          <w:sz w:val="21"/>
          <w:szCs w:val="21"/>
          <w:highlight w:val="none"/>
        </w:rPr>
        <w:t>但不得超过现行市场价*（投标价/招标控制价）结算；</w:t>
      </w:r>
    </w:p>
    <w:p>
      <w:pPr>
        <w:pStyle w:val="23"/>
        <w:pageBreakBefore w:val="0"/>
        <w:numPr>
          <w:ilvl w:val="0"/>
          <w:numId w:val="10"/>
        </w:numPr>
        <w:kinsoku/>
        <w:wordWrap/>
        <w:overflowPunct/>
        <w:topLinePunct w:val="0"/>
        <w:bidi w:val="0"/>
        <w:spacing w:after="0" w:line="360" w:lineRule="auto"/>
        <w:ind w:left="0" w:leftChars="0"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最终清算价格需扣除由我方原因造成招标人的一切损失。</w:t>
      </w:r>
    </w:p>
    <w:p>
      <w:pPr>
        <w:pStyle w:val="23"/>
        <w:pageBreakBefore w:val="0"/>
        <w:numPr>
          <w:ilvl w:val="0"/>
          <w:numId w:val="10"/>
        </w:numPr>
        <w:kinsoku/>
        <w:wordWrap/>
        <w:overflowPunct/>
        <w:topLinePunct w:val="0"/>
        <w:bidi w:val="0"/>
        <w:spacing w:after="0" w:line="360" w:lineRule="auto"/>
        <w:ind w:left="0" w:leftChars="0"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保证不出现“低价中标，高价索赔出场”的现象。</w:t>
      </w:r>
    </w:p>
    <w:p>
      <w:pPr>
        <w:pStyle w:val="23"/>
        <w:pageBreakBefore w:val="0"/>
        <w:kinsoku/>
        <w:wordWrap/>
        <w:overflowPunct/>
        <w:topLinePunct w:val="0"/>
        <w:bidi w:val="0"/>
        <w:spacing w:after="0" w:line="360" w:lineRule="auto"/>
        <w:ind w:left="0" w:leftChars="0"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（六）我方承诺当收到招标人的退场通知后7个日历天内撤离现场，并积极配合招标人在30个日历天内完成合同结算。</w:t>
      </w:r>
    </w:p>
    <w:p>
      <w:pPr>
        <w:pageBreakBefore w:val="0"/>
        <w:kinsoku/>
        <w:wordWrap/>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二、本承诺函作为双方合同组成部分，对我方具有与合同同等法律效力。</w:t>
      </w:r>
    </w:p>
    <w:p>
      <w:pPr>
        <w:pageBreakBefore w:val="0"/>
        <w:kinsoku/>
        <w:wordWrap/>
        <w:overflowPunct/>
        <w:topLinePunct w:val="0"/>
        <w:bidi w:val="0"/>
        <w:spacing w:line="360" w:lineRule="auto"/>
        <w:ind w:firstLine="420" w:firstLineChars="200"/>
        <w:rPr>
          <w:rFonts w:hint="eastAsia" w:ascii="宋体" w:hAnsi="宋体" w:eastAsia="宋体" w:cs="宋体"/>
          <w:color w:val="auto"/>
          <w:sz w:val="21"/>
          <w:szCs w:val="21"/>
          <w:highlight w:val="none"/>
        </w:rPr>
      </w:pPr>
    </w:p>
    <w:p>
      <w:pPr>
        <w:pageBreakBefore w:val="0"/>
        <w:kinsoku/>
        <w:wordWrap/>
        <w:overflowPunct/>
        <w:topLinePunct w:val="0"/>
        <w:bidi w:val="0"/>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分包</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pPr>
        <w:pageBreakBefore w:val="0"/>
        <w:kinsoku/>
        <w:wordWrap/>
        <w:overflowPunct/>
        <w:topLinePunct w:val="0"/>
        <w:bidi w:val="0"/>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pPr>
        <w:pageBreakBefore w:val="0"/>
        <w:kinsoku/>
        <w:wordWrap/>
        <w:overflowPunct/>
        <w:topLinePunct w:val="0"/>
        <w:bidi w:val="0"/>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pageBreakBefore w:val="0"/>
        <w:kinsoku/>
        <w:wordWrap/>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pStyle w:val="28"/>
        <w:bidi w:val="0"/>
        <w:outlineLvl w:val="1"/>
        <w:rPr>
          <w:rFonts w:hint="default"/>
          <w:color w:val="auto"/>
          <w:highlight w:val="none"/>
          <w:lang w:val="en-US" w:eastAsia="zh-CN"/>
        </w:rPr>
      </w:pPr>
      <w:bookmarkStart w:id="965" w:name="_Toc21090"/>
      <w:bookmarkStart w:id="966" w:name="_Toc2237"/>
      <w:r>
        <w:rPr>
          <w:rFonts w:hint="eastAsia"/>
          <w:color w:val="auto"/>
          <w:highlight w:val="none"/>
          <w:lang w:val="en-US" w:eastAsia="zh-CN"/>
        </w:rPr>
        <w:t>附件十一 关于供应商恶意作废发票的告知函</w:t>
      </w:r>
      <w:bookmarkEnd w:id="965"/>
      <w:bookmarkEnd w:id="966"/>
    </w:p>
    <w:p>
      <w:pPr>
        <w:pageBreakBefore w:val="0"/>
        <w:kinsoku/>
        <w:wordWrap/>
        <w:overflowPunct/>
        <w:topLinePunct w:val="0"/>
        <w:bidi w:val="0"/>
        <w:spacing w:line="360" w:lineRule="auto"/>
        <w:ind w:firstLine="422" w:firstLineChars="150"/>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关于供应商恶意作废发票的告知函</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各合作供应商：</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根据“国家税务总局关于修订《增值税专用发票使用规定》的通知”（国税发[2006]156号）相关规定，一般纳税人在开具专用发票当月，发生销货退回、开票有误等情形，收到退回的发票联、抵扣联符合作废条件的，按作废处理。增值税专用发票作废需满足联次齐全、销售方收到退回的发票联、抵扣联时间未超过开票当月及购买方未认证等条件，才能进行增值税专用发票作废。</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鉴于以上规定，</w:t>
      </w:r>
      <w:r>
        <w:rPr>
          <w:rFonts w:hint="eastAsia" w:ascii="仿宋_GB2312" w:hAnsi="仿宋_GB2312" w:eastAsia="仿宋_GB2312" w:cs="仿宋_GB2312"/>
          <w:color w:val="auto"/>
          <w:sz w:val="24"/>
          <w:szCs w:val="24"/>
          <w:highlight w:val="none"/>
        </w:rPr>
        <w:t>若贵单位在合同存续期间存在以下情况</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则视为恶意作废发票：</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1、贵单位作废发票时间不为开票当月；</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2、发票已传递到我公司且在增值税发票综合服务平台中认证；</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3、贵单位在发票联次不齐全时作废发票；</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一经确认为恶意作废发票的情形，给我公司带来恶意抵扣进项税额的税务风险时，</w:t>
      </w:r>
      <w:r>
        <w:rPr>
          <w:rFonts w:hint="eastAsia" w:ascii="仿宋_GB2312" w:hAnsi="仿宋_GB2312" w:eastAsia="仿宋_GB2312" w:cs="仿宋_GB2312"/>
          <w:color w:val="auto"/>
          <w:sz w:val="24"/>
          <w:szCs w:val="24"/>
          <w:highlight w:val="none"/>
          <w:lang w:val="en-US" w:eastAsia="zh-CN"/>
        </w:rPr>
        <w:t>贵单位</w:t>
      </w:r>
      <w:r>
        <w:rPr>
          <w:rFonts w:hint="eastAsia" w:ascii="仿宋_GB2312" w:hAnsi="仿宋_GB2312" w:eastAsia="仿宋_GB2312" w:cs="仿宋_GB2312"/>
          <w:color w:val="auto"/>
          <w:sz w:val="24"/>
          <w:szCs w:val="24"/>
          <w:highlight w:val="none"/>
        </w:rPr>
        <w:t>应配合</w:t>
      </w:r>
      <w:r>
        <w:rPr>
          <w:rFonts w:hint="eastAsia" w:ascii="仿宋_GB2312" w:hAnsi="仿宋_GB2312" w:eastAsia="仿宋_GB2312" w:cs="仿宋_GB2312"/>
          <w:color w:val="auto"/>
          <w:sz w:val="24"/>
          <w:szCs w:val="24"/>
          <w:highlight w:val="none"/>
          <w:lang w:val="en-US" w:eastAsia="zh-CN"/>
        </w:rPr>
        <w:t>税局或其他检查机构</w:t>
      </w:r>
      <w:r>
        <w:rPr>
          <w:rFonts w:hint="eastAsia" w:ascii="仿宋_GB2312" w:hAnsi="仿宋_GB2312" w:eastAsia="仿宋_GB2312" w:cs="仿宋_GB2312"/>
          <w:color w:val="auto"/>
          <w:sz w:val="24"/>
          <w:szCs w:val="24"/>
          <w:highlight w:val="none"/>
        </w:rPr>
        <w:t>调查取证等工作，并依法如实提供有关资料及证明材料</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另外，我公司还</w:t>
      </w:r>
      <w:r>
        <w:rPr>
          <w:rFonts w:hint="eastAsia" w:ascii="仿宋_GB2312" w:hAnsi="仿宋_GB2312" w:eastAsia="仿宋_GB2312" w:cs="仿宋_GB2312"/>
          <w:color w:val="auto"/>
          <w:sz w:val="24"/>
          <w:szCs w:val="24"/>
          <w:highlight w:val="none"/>
        </w:rPr>
        <w:t>将对贵</w:t>
      </w:r>
      <w:r>
        <w:rPr>
          <w:rFonts w:hint="eastAsia" w:ascii="仿宋_GB2312" w:hAnsi="仿宋_GB2312" w:eastAsia="仿宋_GB2312" w:cs="仿宋_GB2312"/>
          <w:color w:val="auto"/>
          <w:sz w:val="24"/>
          <w:szCs w:val="24"/>
          <w:highlight w:val="none"/>
          <w:lang w:val="en-US" w:eastAsia="zh-CN"/>
        </w:rPr>
        <w:t>单位</w:t>
      </w:r>
      <w:r>
        <w:rPr>
          <w:rFonts w:hint="eastAsia" w:ascii="仿宋_GB2312" w:hAnsi="仿宋_GB2312" w:eastAsia="仿宋_GB2312" w:cs="仿宋_GB2312"/>
          <w:color w:val="auto"/>
          <w:sz w:val="24"/>
          <w:szCs w:val="24"/>
          <w:highlight w:val="none"/>
        </w:rPr>
        <w:t>做出罚款</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000元/次的处罚</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并将恶意作废行为告知公司生产管理部门，贵单位半年内不得承接我公司新的业务</w:t>
      </w:r>
      <w:r>
        <w:rPr>
          <w:rFonts w:hint="eastAsia" w:ascii="仿宋_GB2312" w:hAnsi="仿宋_GB2312" w:eastAsia="仿宋_GB2312" w:cs="仿宋_GB2312"/>
          <w:color w:val="auto"/>
          <w:sz w:val="24"/>
          <w:szCs w:val="24"/>
          <w:highlight w:val="none"/>
        </w:rPr>
        <w:t>。</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望贵单位按照税法相关规定合理合规作废发票。 </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特此函告。</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pPr>
        <w:spacing w:line="570" w:lineRule="exact"/>
        <w:ind w:firstLine="360" w:firstLineChars="150"/>
        <w:jc w:val="right"/>
        <w:rPr>
          <w:rFonts w:hint="default"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u w:val="none"/>
          <w:lang w:val="en-US" w:eastAsia="zh-CN"/>
        </w:rPr>
        <w:t xml:space="preserve"> </w:t>
      </w:r>
      <w:r>
        <w:rPr>
          <w:rFonts w:hint="eastAsia" w:ascii="仿宋_GB2312" w:hAnsi="仿宋_GB2312" w:eastAsia="仿宋_GB2312" w:cs="仿宋_GB2312"/>
          <w:color w:val="auto"/>
          <w:sz w:val="24"/>
          <w:szCs w:val="24"/>
          <w:highlight w:val="none"/>
          <w:u w:val="none"/>
          <w:lang w:eastAsia="zh-CN"/>
        </w:rPr>
        <w:t>甲方：</w:t>
      </w:r>
      <w:r>
        <w:rPr>
          <w:rFonts w:hint="eastAsia" w:ascii="宋体" w:hAnsi="宋体" w:eastAsia="宋体" w:cs="宋体"/>
          <w:color w:val="auto"/>
          <w:sz w:val="21"/>
          <w:szCs w:val="21"/>
          <w:highlight w:val="none"/>
          <w:u w:val="none"/>
        </w:rPr>
        <w:t>云南建投第十建设有限公司绥江分公司</w:t>
      </w:r>
      <w:r>
        <w:rPr>
          <w:rFonts w:hint="eastAsia" w:ascii="仿宋_GB2312" w:hAnsi="仿宋_GB2312" w:eastAsia="仿宋_GB2312" w:cs="仿宋_GB2312"/>
          <w:color w:val="auto"/>
          <w:sz w:val="24"/>
          <w:szCs w:val="24"/>
          <w:highlight w:val="none"/>
          <w:u w:val="none"/>
          <w:lang w:val="en-US" w:eastAsia="zh-CN"/>
        </w:rPr>
        <w:t xml:space="preserve">                        </w:t>
      </w:r>
    </w:p>
    <w:p>
      <w:pPr>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年</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日</w:t>
      </w:r>
    </w:p>
    <w:p>
      <w:pPr>
        <w:pageBreakBefore w:val="0"/>
        <w:kinsoku/>
        <w:wordWrap/>
        <w:overflowPunct/>
        <w:topLinePunct w:val="0"/>
        <w:bidi w:val="0"/>
        <w:spacing w:line="360" w:lineRule="auto"/>
        <w:jc w:val="right"/>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br w:type="page"/>
      </w:r>
    </w:p>
    <w:p>
      <w:pPr>
        <w:pStyle w:val="28"/>
        <w:bidi w:val="0"/>
        <w:outlineLvl w:val="1"/>
        <w:rPr>
          <w:rFonts w:hint="eastAsia"/>
          <w:color w:val="auto"/>
          <w:highlight w:val="none"/>
          <w:lang w:val="en-US" w:eastAsia="zh-CN"/>
        </w:rPr>
      </w:pPr>
      <w:bookmarkStart w:id="967" w:name="_Toc30638"/>
      <w:bookmarkStart w:id="968" w:name="_Toc14995"/>
      <w:r>
        <w:rPr>
          <w:rFonts w:hint="eastAsia"/>
          <w:color w:val="auto"/>
          <w:highlight w:val="none"/>
          <w:lang w:val="en-US" w:eastAsia="zh-CN"/>
        </w:rPr>
        <w:t>附件十二  分包人</w:t>
      </w:r>
      <w:r>
        <w:rPr>
          <w:rFonts w:hint="eastAsia"/>
          <w:color w:val="auto"/>
          <w:highlight w:val="none"/>
        </w:rPr>
        <w:t>法定代表人身份证明</w:t>
      </w:r>
      <w:bookmarkEnd w:id="967"/>
      <w:bookmarkEnd w:id="968"/>
    </w:p>
    <w:p>
      <w:pPr>
        <w:pageBreakBefore w:val="0"/>
        <w:kinsoku/>
        <w:wordWrap/>
        <w:overflowPunct/>
        <w:topLinePunct w:val="0"/>
        <w:bidi w:val="0"/>
        <w:spacing w:before="0" w:after="0" w:line="360" w:lineRule="auto"/>
        <w:jc w:val="center"/>
        <w:outlineLvl w:val="9"/>
        <w:rPr>
          <w:rFonts w:hint="eastAsia" w:ascii="仿宋_GB2312" w:hAnsi="仿宋_GB2312" w:eastAsia="仿宋_GB2312" w:cs="仿宋_GB2312"/>
          <w:bCs w:val="0"/>
          <w:color w:val="auto"/>
          <w:sz w:val="28"/>
          <w:szCs w:val="28"/>
          <w:highlight w:val="none"/>
        </w:rPr>
      </w:pPr>
    </w:p>
    <w:p>
      <w:pPr>
        <w:pageBreakBefore w:val="0"/>
        <w:kinsoku/>
        <w:wordWrap/>
        <w:overflowPunct/>
        <w:topLinePunct w:val="0"/>
        <w:bidi w:val="0"/>
        <w:spacing w:before="0" w:after="0" w:line="360" w:lineRule="auto"/>
        <w:jc w:val="center"/>
        <w:outlineLvl w:val="9"/>
        <w:rPr>
          <w:rFonts w:hint="eastAsia" w:ascii="仿宋_GB2312" w:hAnsi="仿宋_GB2312" w:eastAsia="仿宋_GB2312" w:cs="仿宋_GB2312"/>
          <w:bCs w:val="0"/>
          <w:color w:val="auto"/>
          <w:sz w:val="28"/>
          <w:szCs w:val="28"/>
          <w:highlight w:val="none"/>
        </w:rPr>
      </w:pPr>
      <w:r>
        <w:rPr>
          <w:rFonts w:hint="eastAsia" w:ascii="仿宋_GB2312" w:hAnsi="仿宋_GB2312" w:eastAsia="仿宋_GB2312" w:cs="仿宋_GB2312"/>
          <w:bCs w:val="0"/>
          <w:color w:val="auto"/>
          <w:sz w:val="28"/>
          <w:szCs w:val="28"/>
          <w:highlight w:val="none"/>
        </w:rPr>
        <w:t>法定代表人身份证明</w:t>
      </w:r>
    </w:p>
    <w:p>
      <w:pPr>
        <w:pageBreakBefore w:val="0"/>
        <w:kinsoku/>
        <w:wordWrap/>
        <w:overflowPunct/>
        <w:topLinePunct w:val="0"/>
        <w:autoSpaceDE w:val="0"/>
        <w:autoSpaceDN w:val="0"/>
        <w:bidi w:val="0"/>
        <w:adjustRightInd w:val="0"/>
        <w:spacing w:line="360" w:lineRule="auto"/>
        <w:jc w:val="left"/>
        <w:rPr>
          <w:rFonts w:hint="eastAsia" w:ascii="仿宋_GB2312" w:hAnsi="仿宋_GB2312" w:eastAsia="仿宋_GB2312" w:cs="仿宋_GB2312"/>
          <w:color w:val="auto"/>
          <w:kern w:val="0"/>
          <w:sz w:val="24"/>
          <w:szCs w:val="24"/>
          <w:highlight w:val="none"/>
        </w:rPr>
      </w:pPr>
    </w:p>
    <w:p>
      <w:pPr>
        <w:pageBreakBefore w:val="0"/>
        <w:kinsoku/>
        <w:wordWrap/>
        <w:overflowPunct/>
        <w:topLinePunct w:val="0"/>
        <w:bidi w:val="0"/>
        <w:spacing w:line="360" w:lineRule="auto"/>
        <w:rPr>
          <w:rFonts w:hint="default" w:ascii="仿宋_GB2312" w:hAnsi="仿宋_GB2312" w:eastAsia="仿宋_GB2312" w:cs="仿宋_GB2312"/>
          <w:color w:val="auto"/>
          <w:sz w:val="24"/>
          <w:szCs w:val="24"/>
          <w:highlight w:val="none"/>
          <w:u w:val="single"/>
          <w:lang w:val="en-US"/>
        </w:rPr>
      </w:pPr>
      <w:r>
        <w:rPr>
          <w:rFonts w:hint="eastAsia" w:ascii="仿宋_GB2312" w:hAnsi="仿宋_GB2312" w:eastAsia="仿宋_GB2312" w:cs="仿宋_GB2312"/>
          <w:color w:val="auto"/>
          <w:sz w:val="24"/>
          <w:szCs w:val="24"/>
          <w:highlight w:val="none"/>
        </w:rPr>
        <w:t>单位名称：</w:t>
      </w:r>
      <w:r>
        <w:rPr>
          <w:rFonts w:hint="eastAsia" w:ascii="仿宋_GB2312" w:hAnsi="仿宋_GB2312" w:eastAsia="仿宋_GB2312" w:cs="仿宋_GB2312"/>
          <w:color w:val="auto"/>
          <w:sz w:val="24"/>
          <w:szCs w:val="24"/>
          <w:highlight w:val="none"/>
          <w:u w:val="single"/>
          <w:lang w:val="en-US" w:eastAsia="zh-CN"/>
        </w:rPr>
        <w:t xml:space="preserve">                            </w:t>
      </w:r>
    </w:p>
    <w:p>
      <w:pPr>
        <w:pageBreakBefore w:val="0"/>
        <w:kinsoku/>
        <w:wordWrap/>
        <w:overflowPunct/>
        <w:topLinePunct w:val="0"/>
        <w:bidi w:val="0"/>
        <w:spacing w:line="360" w:lineRule="auto"/>
        <w:rPr>
          <w:rFonts w:hint="default"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rPr>
        <w:t>单位性质：</w:t>
      </w:r>
      <w:r>
        <w:rPr>
          <w:rFonts w:hint="eastAsia" w:ascii="仿宋_GB2312" w:hAnsi="仿宋_GB2312" w:eastAsia="仿宋_GB2312" w:cs="仿宋_GB2312"/>
          <w:color w:val="auto"/>
          <w:sz w:val="24"/>
          <w:szCs w:val="24"/>
          <w:highlight w:val="none"/>
          <w:u w:val="single"/>
          <w:lang w:val="en-US" w:eastAsia="zh-CN"/>
        </w:rPr>
        <w:t xml:space="preserve">                             </w:t>
      </w:r>
    </w:p>
    <w:p>
      <w:pPr>
        <w:pageBreakBefore w:val="0"/>
        <w:kinsoku/>
        <w:wordWrap/>
        <w:overflowPunct/>
        <w:topLinePunct w:val="0"/>
        <w:bidi w:val="0"/>
        <w:spacing w:line="360" w:lineRule="auto"/>
        <w:rPr>
          <w:rFonts w:hint="default"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rPr>
        <w:t>地    址：</w:t>
      </w:r>
      <w:r>
        <w:rPr>
          <w:rFonts w:hint="eastAsia" w:ascii="仿宋_GB2312" w:hAnsi="仿宋_GB2312" w:eastAsia="仿宋_GB2312" w:cs="仿宋_GB2312"/>
          <w:color w:val="auto"/>
          <w:sz w:val="24"/>
          <w:szCs w:val="24"/>
          <w:highlight w:val="none"/>
          <w:u w:val="single"/>
          <w:lang w:val="en-US" w:eastAsia="zh-CN"/>
        </w:rPr>
        <w:t xml:space="preserve">                             </w:t>
      </w:r>
    </w:p>
    <w:p>
      <w:pPr>
        <w:pageBreakBefore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成立时间：</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 xml:space="preserve"> 年</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日</w:t>
      </w:r>
    </w:p>
    <w:p>
      <w:pPr>
        <w:pageBreakBefore w:val="0"/>
        <w:kinsoku/>
        <w:wordWrap/>
        <w:overflowPunct/>
        <w:topLinePunct w:val="0"/>
        <w:bidi w:val="0"/>
        <w:spacing w:line="360" w:lineRule="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经营期限：</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年</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月</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日至</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年</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月</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日</w:t>
      </w:r>
    </w:p>
    <w:p>
      <w:pPr>
        <w:pageBreakBefore w:val="0"/>
        <w:kinsoku/>
        <w:wordWrap/>
        <w:overflowPunct/>
        <w:topLinePunct w:val="0"/>
        <w:bidi w:val="0"/>
        <w:spacing w:line="360" w:lineRule="auto"/>
        <w:rPr>
          <w:rFonts w:hint="default"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rPr>
        <w:t>姓    名：</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性</w:t>
      </w:r>
      <w:r>
        <w:rPr>
          <w:rFonts w:hint="eastAsia" w:ascii="仿宋_GB2312" w:hAnsi="仿宋_GB2312" w:eastAsia="仿宋_GB2312" w:cs="仿宋_GB2312"/>
          <w:color w:val="auto"/>
          <w:sz w:val="24"/>
          <w:szCs w:val="24"/>
          <w:highlight w:val="none"/>
        </w:rPr>
        <w:t>别：</w:t>
      </w:r>
      <w:r>
        <w:rPr>
          <w:rFonts w:hint="eastAsia" w:ascii="仿宋_GB2312" w:hAnsi="仿宋_GB2312" w:eastAsia="仿宋_GB2312" w:cs="仿宋_GB2312"/>
          <w:color w:val="auto"/>
          <w:sz w:val="24"/>
          <w:szCs w:val="24"/>
          <w:highlight w:val="none"/>
          <w:u w:val="single"/>
          <w:lang w:val="en-US" w:eastAsia="zh-CN"/>
        </w:rPr>
        <w:t xml:space="preserve">      </w:t>
      </w:r>
    </w:p>
    <w:p>
      <w:pPr>
        <w:pageBreakBefore w:val="0"/>
        <w:kinsoku/>
        <w:wordWrap/>
        <w:overflowPunct/>
        <w:topLinePunct w:val="0"/>
        <w:bidi w:val="0"/>
        <w:spacing w:line="360" w:lineRule="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年    龄：</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岁</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none"/>
          <w:lang w:val="en-US" w:eastAsia="zh-CN"/>
        </w:rPr>
        <w:t xml:space="preserve">     </w:t>
      </w:r>
      <w:r>
        <w:rPr>
          <w:rFonts w:hint="eastAsia" w:ascii="仿宋_GB2312" w:hAnsi="仿宋_GB2312" w:eastAsia="仿宋_GB2312" w:cs="仿宋_GB2312"/>
          <w:color w:val="auto"/>
          <w:sz w:val="24"/>
          <w:szCs w:val="24"/>
          <w:highlight w:val="none"/>
        </w:rPr>
        <w:t>职 务：</w:t>
      </w:r>
      <w:r>
        <w:rPr>
          <w:rFonts w:hint="eastAsia" w:ascii="仿宋_GB2312" w:hAnsi="仿宋_GB2312" w:eastAsia="仿宋_GB2312" w:cs="仿宋_GB2312"/>
          <w:color w:val="auto"/>
          <w:sz w:val="24"/>
          <w:szCs w:val="24"/>
          <w:highlight w:val="none"/>
          <w:u w:val="single"/>
          <w:lang w:val="en-US" w:eastAsia="zh-CN"/>
        </w:rPr>
        <w:t xml:space="preserve">     </w:t>
      </w:r>
    </w:p>
    <w:p>
      <w:pPr>
        <w:pageBreakBefore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系</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的法定代表人。</w:t>
      </w:r>
    </w:p>
    <w:p>
      <w:pPr>
        <w:pageBreakBefore w:val="0"/>
        <w:kinsoku/>
        <w:wordWrap/>
        <w:overflowPunct/>
        <w:topLinePunct w:val="0"/>
        <w:bidi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特此证明</w:t>
      </w:r>
    </w:p>
    <w:p>
      <w:pPr>
        <w:pageBreakBefore w:val="0"/>
        <w:kinsoku/>
        <w:wordWrap/>
        <w:overflowPunct/>
        <w:topLinePunct w:val="0"/>
        <w:bidi w:val="0"/>
        <w:spacing w:line="360" w:lineRule="auto"/>
        <w:rPr>
          <w:rFonts w:hint="eastAsia" w:ascii="仿宋_GB2312" w:hAnsi="仿宋_GB2312" w:eastAsia="仿宋_GB2312" w:cs="仿宋_GB2312"/>
          <w:b w:val="0"/>
          <w:bCs/>
          <w:color w:val="auto"/>
          <w:szCs w:val="21"/>
          <w:highlight w:val="none"/>
        </w:rPr>
      </w:pPr>
    </w:p>
    <w:p>
      <w:pPr>
        <w:pageBreakBefore w:val="0"/>
        <w:kinsoku/>
        <w:wordWrap/>
        <w:overflowPunct/>
        <w:topLinePunct w:val="0"/>
        <w:bidi w:val="0"/>
        <w:spacing w:line="360" w:lineRule="auto"/>
        <w:ind w:firstLine="480" w:firstLineChars="200"/>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rPr>
        <w:t>附：法定代表人二代身份证复印件</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lang w:val="en-US" w:eastAsia="zh-CN"/>
        </w:rPr>
        <w:t>正反面</w:t>
      </w:r>
      <w:r>
        <w:rPr>
          <w:rFonts w:hint="eastAsia" w:ascii="仿宋_GB2312" w:hAnsi="仿宋_GB2312" w:eastAsia="仿宋_GB2312" w:cs="仿宋_GB2312"/>
          <w:b w:val="0"/>
          <w:bCs/>
          <w:color w:val="auto"/>
          <w:sz w:val="24"/>
          <w:szCs w:val="24"/>
          <w:highlight w:val="none"/>
          <w:lang w:eastAsia="zh-CN"/>
        </w:rPr>
        <w:t>）</w:t>
      </w:r>
    </w:p>
    <w:p>
      <w:pPr>
        <w:pageBreakBefore w:val="0"/>
        <w:kinsoku/>
        <w:wordWrap/>
        <w:overflowPunct/>
        <w:topLinePunct w:val="0"/>
        <w:bidi w:val="0"/>
        <w:spacing w:line="360" w:lineRule="auto"/>
        <w:rPr>
          <w:rFonts w:hint="eastAsia" w:ascii="仿宋_GB2312" w:hAnsi="仿宋_GB2312" w:eastAsia="仿宋_GB2312" w:cs="仿宋_GB2312"/>
          <w:color w:val="auto"/>
          <w:highlight w:val="none"/>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9" w:hRule="atLeast"/>
        </w:trPr>
        <w:tc>
          <w:tcPr>
            <w:tcW w:w="8522" w:type="dxa"/>
          </w:tcPr>
          <w:p>
            <w:pPr>
              <w:pStyle w:val="8"/>
              <w:pageBreakBefore w:val="0"/>
              <w:kinsoku/>
              <w:wordWrap/>
              <w:overflowPunct/>
              <w:topLinePunct w:val="0"/>
              <w:bidi w:val="0"/>
              <w:spacing w:line="360" w:lineRule="auto"/>
              <w:rPr>
                <w:rFonts w:hint="eastAsia" w:ascii="仿宋_GB2312" w:hAnsi="仿宋_GB2312" w:eastAsia="仿宋_GB2312" w:cs="仿宋_GB2312"/>
                <w:color w:val="auto"/>
                <w:highlight w:val="none"/>
                <w:lang w:eastAsia="zh-CN"/>
              </w:rPr>
            </w:pPr>
          </w:p>
          <w:p>
            <w:pPr>
              <w:pageBreakBefore w:val="0"/>
              <w:kinsoku/>
              <w:wordWrap/>
              <w:overflowPunct/>
              <w:topLinePunct w:val="0"/>
              <w:bidi w:val="0"/>
              <w:spacing w:line="360" w:lineRule="auto"/>
              <w:rPr>
                <w:rFonts w:hint="eastAsia" w:ascii="仿宋_GB2312" w:hAnsi="仿宋_GB2312" w:eastAsia="仿宋_GB2312" w:cs="仿宋_GB2312"/>
                <w:color w:val="auto"/>
                <w:highlight w:val="none"/>
                <w:lang w:eastAsia="zh-CN"/>
              </w:rPr>
            </w:pPr>
          </w:p>
          <w:p>
            <w:pPr>
              <w:pStyle w:val="8"/>
              <w:pageBreakBefore w:val="0"/>
              <w:kinsoku/>
              <w:wordWrap/>
              <w:overflowPunct/>
              <w:topLinePunct w:val="0"/>
              <w:bidi w:val="0"/>
              <w:spacing w:line="360" w:lineRule="auto"/>
              <w:rPr>
                <w:rFonts w:hint="eastAsia" w:ascii="仿宋_GB2312" w:hAnsi="仿宋_GB2312" w:eastAsia="仿宋_GB2312" w:cs="仿宋_GB2312"/>
                <w:color w:val="auto"/>
                <w:highlight w:val="none"/>
                <w:lang w:eastAsia="zh-CN"/>
              </w:rPr>
            </w:pPr>
          </w:p>
          <w:p>
            <w:pPr>
              <w:pageBreakBefore w:val="0"/>
              <w:kinsoku/>
              <w:wordWrap/>
              <w:overflowPunct/>
              <w:topLinePunct w:val="0"/>
              <w:bidi w:val="0"/>
              <w:spacing w:line="360" w:lineRule="auto"/>
              <w:jc w:val="center"/>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val="0"/>
                <w:bCs w:val="0"/>
                <w:color w:val="auto"/>
                <w:highlight w:val="none"/>
                <w:lang w:eastAsia="zh-CN"/>
              </w:rPr>
              <w:t>（</w:t>
            </w:r>
            <w:r>
              <w:rPr>
                <w:rFonts w:hint="eastAsia" w:ascii="仿宋_GB2312" w:hAnsi="仿宋_GB2312" w:eastAsia="仿宋_GB2312" w:cs="仿宋_GB2312"/>
                <w:b w:val="0"/>
                <w:bCs w:val="0"/>
                <w:color w:val="auto"/>
                <w:sz w:val="24"/>
                <w:szCs w:val="24"/>
                <w:highlight w:val="none"/>
              </w:rPr>
              <w:t>二代身份证复印件</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正反面</w:t>
            </w:r>
            <w:r>
              <w:rPr>
                <w:rFonts w:hint="eastAsia" w:ascii="仿宋_GB2312" w:hAnsi="仿宋_GB2312" w:eastAsia="仿宋_GB2312" w:cs="仿宋_GB2312"/>
                <w:b w:val="0"/>
                <w:bCs w:val="0"/>
                <w:color w:val="auto"/>
                <w:highlight w:val="none"/>
                <w:lang w:eastAsia="zh-CN"/>
              </w:rPr>
              <w:t>）</w:t>
            </w:r>
          </w:p>
        </w:tc>
      </w:tr>
    </w:tbl>
    <w:p>
      <w:pPr>
        <w:pageBreakBefore w:val="0"/>
        <w:kinsoku/>
        <w:wordWrap/>
        <w:overflowPunct/>
        <w:topLinePunct w:val="0"/>
        <w:bidi w:val="0"/>
        <w:spacing w:line="360" w:lineRule="auto"/>
        <w:rPr>
          <w:rFonts w:hint="eastAsia"/>
          <w:color w:val="auto"/>
          <w:highlight w:val="none"/>
        </w:rPr>
      </w:pPr>
    </w:p>
    <w:p>
      <w:pPr>
        <w:pageBreakBefore w:val="0"/>
        <w:kinsoku/>
        <w:wordWrap/>
        <w:overflowPunct/>
        <w:topLinePunct w:val="0"/>
        <w:bidi w:val="0"/>
        <w:spacing w:line="360" w:lineRule="auto"/>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单位名称：</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（盖单位章）</w:t>
      </w:r>
    </w:p>
    <w:p>
      <w:pPr>
        <w:pageBreakBefore w:val="0"/>
        <w:kinsoku/>
        <w:wordWrap/>
        <w:overflowPunct/>
        <w:topLinePunct w:val="0"/>
        <w:bidi w:val="0"/>
        <w:spacing w:line="360" w:lineRule="auto"/>
        <w:jc w:val="right"/>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（签字或盖章）</w:t>
      </w:r>
    </w:p>
    <w:p>
      <w:pPr>
        <w:pageBreakBefore w:val="0"/>
        <w:kinsoku/>
        <w:wordWrap/>
        <w:overflowPunct/>
        <w:topLinePunct w:val="0"/>
        <w:bidi w:val="0"/>
        <w:spacing w:line="360" w:lineRule="auto"/>
        <w:ind w:firstLine="480" w:firstLineChars="200"/>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  期：   年   月   日</w:t>
      </w:r>
    </w:p>
    <w:p>
      <w:pPr>
        <w:pageBreakBefore w:val="0"/>
        <w:kinsoku/>
        <w:wordWrap/>
        <w:overflowPunct/>
        <w:topLinePunct w:val="0"/>
        <w:bidi w:val="0"/>
        <w:spacing w:line="360" w:lineRule="auto"/>
        <w:rPr>
          <w:rFonts w:hint="eastAsia"/>
          <w:color w:val="auto"/>
          <w:highlight w:val="none"/>
        </w:rPr>
        <w:sectPr>
          <w:pgSz w:w="11906" w:h="16838"/>
          <w:pgMar w:top="1440" w:right="1134" w:bottom="1118" w:left="1134" w:header="851" w:footer="992" w:gutter="0"/>
          <w:pgBorders>
            <w:top w:val="none" w:sz="0" w:space="0"/>
            <w:left w:val="none" w:sz="0" w:space="0"/>
            <w:bottom w:val="none" w:sz="0" w:space="0"/>
            <w:right w:val="none" w:sz="0" w:space="0"/>
          </w:pgBorders>
          <w:cols w:space="720" w:num="1"/>
          <w:rtlGutter w:val="0"/>
          <w:docGrid w:type="lines" w:linePitch="312" w:charSpace="0"/>
        </w:sectPr>
      </w:pPr>
      <w:r>
        <w:rPr>
          <w:rFonts w:hint="eastAsia" w:ascii="仿宋_GB2312" w:hAnsi="仿宋_GB2312" w:eastAsia="仿宋_GB2312" w:cs="仿宋_GB2312"/>
          <w:color w:val="auto"/>
          <w:sz w:val="24"/>
          <w:szCs w:val="24"/>
          <w:highlight w:val="none"/>
        </w:rPr>
        <w:br w:type="page"/>
      </w:r>
    </w:p>
    <w:p>
      <w:pPr>
        <w:pStyle w:val="28"/>
        <w:bidi w:val="0"/>
        <w:outlineLvl w:val="1"/>
        <w:rPr>
          <w:rFonts w:hint="eastAsia"/>
          <w:color w:val="auto"/>
          <w:highlight w:val="none"/>
        </w:rPr>
      </w:pPr>
      <w:bookmarkStart w:id="969" w:name="_Toc29147"/>
      <w:bookmarkStart w:id="970" w:name="_Toc21835"/>
      <w:r>
        <w:rPr>
          <w:rFonts w:hint="eastAsia"/>
          <w:color w:val="auto"/>
          <w:highlight w:val="none"/>
        </w:rPr>
        <w:t>附件</w:t>
      </w:r>
      <w:r>
        <w:rPr>
          <w:rFonts w:hint="eastAsia"/>
          <w:color w:val="auto"/>
          <w:highlight w:val="none"/>
          <w:lang w:val="en-US" w:eastAsia="zh-CN"/>
        </w:rPr>
        <w:t>十三 授权委托书：项目经理（项目负责人）</w:t>
      </w:r>
      <w:bookmarkEnd w:id="969"/>
      <w:bookmarkEnd w:id="970"/>
    </w:p>
    <w:p>
      <w:pPr>
        <w:pageBreakBefore w:val="0"/>
        <w:kinsoku/>
        <w:wordWrap/>
        <w:overflowPunct/>
        <w:topLinePunct w:val="0"/>
        <w:bidi w:val="0"/>
        <w:snapToGrid w:val="0"/>
        <w:spacing w:line="360" w:lineRule="auto"/>
        <w:jc w:val="center"/>
        <w:rPr>
          <w:rFonts w:hint="eastAsia" w:ascii="仿宋_GB2312" w:hAnsi="仿宋_GB2312" w:eastAsia="仿宋_GB2312" w:cs="仿宋_GB2312"/>
          <w:b/>
          <w:color w:val="auto"/>
          <w:sz w:val="25"/>
          <w:szCs w:val="25"/>
          <w:highlight w:val="none"/>
        </w:rPr>
      </w:pPr>
    </w:p>
    <w:p>
      <w:pPr>
        <w:pageBreakBefore w:val="0"/>
        <w:kinsoku/>
        <w:wordWrap/>
        <w:overflowPunct/>
        <w:topLinePunct w:val="0"/>
        <w:bidi w:val="0"/>
        <w:snapToGrid w:val="0"/>
        <w:spacing w:line="360" w:lineRule="auto"/>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5"/>
          <w:szCs w:val="25"/>
          <w:highlight w:val="none"/>
        </w:rPr>
        <w:t>授 权 委 托 书</w:t>
      </w:r>
    </w:p>
    <w:p>
      <w:pPr>
        <w:pageBreakBefore w:val="0"/>
        <w:kinsoku/>
        <w:wordWrap/>
        <w:overflowPunct/>
        <w:topLinePunct w:val="0"/>
        <w:bidi w:val="0"/>
        <w:snapToGrid w:val="0"/>
        <w:spacing w:line="360" w:lineRule="auto"/>
        <w:ind w:firstLine="2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委托单位： </w:t>
      </w:r>
    </w:p>
    <w:p>
      <w:pPr>
        <w:pageBreakBefore w:val="0"/>
        <w:kinsoku/>
        <w:wordWrap/>
        <w:overflowPunct/>
        <w:topLinePunct w:val="0"/>
        <w:bidi w:val="0"/>
        <w:snapToGrid w:val="0"/>
        <w:spacing w:line="360" w:lineRule="auto"/>
        <w:ind w:firstLine="2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法定代表人：            </w:t>
      </w:r>
    </w:p>
    <w:p>
      <w:pPr>
        <w:pageBreakBefore w:val="0"/>
        <w:kinsoku/>
        <w:wordWrap/>
        <w:overflowPunct/>
        <w:topLinePunct w:val="0"/>
        <w:bidi w:val="0"/>
        <w:snapToGrid w:val="0"/>
        <w:spacing w:line="360" w:lineRule="auto"/>
        <w:ind w:firstLine="2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职务： </w:t>
      </w:r>
    </w:p>
    <w:p>
      <w:pPr>
        <w:pageBreakBefore w:val="0"/>
        <w:kinsoku/>
        <w:wordWrap/>
        <w:overflowPunct/>
        <w:topLinePunct w:val="0"/>
        <w:bidi w:val="0"/>
        <w:snapToGrid w:val="0"/>
        <w:spacing w:line="360" w:lineRule="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受委托人：姓 名：</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 xml:space="preserve"> 身份证号：</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 xml:space="preserve"> </w:t>
      </w:r>
    </w:p>
    <w:p>
      <w:pPr>
        <w:pageBreakBefore w:val="0"/>
        <w:kinsoku/>
        <w:wordWrap/>
        <w:overflowPunct/>
        <w:topLinePunct w:val="0"/>
        <w:bidi w:val="0"/>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工作单位：</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职    务：</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 xml:space="preserve">  </w:t>
      </w:r>
    </w:p>
    <w:p>
      <w:pPr>
        <w:pageBreakBefore w:val="0"/>
        <w:kinsoku/>
        <w:wordWrap/>
        <w:overflowPunct/>
        <w:topLinePunct w:val="0"/>
        <w:bidi w:val="0"/>
        <w:snapToGrid w:val="0"/>
        <w:spacing w:line="360" w:lineRule="auto"/>
        <w:rPr>
          <w:rFonts w:hint="default"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rPr>
        <w:t>电    话</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地    址：</w:t>
      </w:r>
      <w:r>
        <w:rPr>
          <w:rFonts w:hint="eastAsia" w:ascii="仿宋_GB2312" w:hAnsi="仿宋_GB2312" w:eastAsia="仿宋_GB2312" w:cs="仿宋_GB2312"/>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现委托</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作为我公司驻</w:t>
      </w:r>
      <w:r>
        <w:rPr>
          <w:rFonts w:hint="eastAsia" w:ascii="仿宋_GB2312" w:hAnsi="仿宋_GB2312" w:eastAsia="仿宋_GB2312" w:cs="仿宋_GB2312"/>
          <w:color w:val="auto"/>
          <w:sz w:val="24"/>
          <w:szCs w:val="24"/>
          <w:highlight w:val="none"/>
          <w:u w:val="none"/>
        </w:rPr>
        <w:t>云南建</w:t>
      </w:r>
      <w:r>
        <w:rPr>
          <w:rFonts w:hint="eastAsia" w:ascii="仿宋_GB2312" w:hAnsi="仿宋_GB2312" w:eastAsia="仿宋_GB2312" w:cs="仿宋_GB2312"/>
          <w:color w:val="auto"/>
          <w:sz w:val="24"/>
          <w:szCs w:val="24"/>
          <w:highlight w:val="none"/>
          <w:u w:val="none"/>
          <w:lang w:eastAsia="zh-CN"/>
        </w:rPr>
        <w:t>投</w:t>
      </w:r>
      <w:r>
        <w:rPr>
          <w:rFonts w:hint="eastAsia" w:ascii="仿宋_GB2312" w:hAnsi="仿宋_GB2312" w:eastAsia="仿宋_GB2312" w:cs="仿宋_GB2312"/>
          <w:color w:val="auto"/>
          <w:sz w:val="24"/>
          <w:szCs w:val="24"/>
          <w:highlight w:val="none"/>
          <w:u w:val="none"/>
        </w:rPr>
        <w:t>第十建</w:t>
      </w:r>
      <w:r>
        <w:rPr>
          <w:rFonts w:hint="eastAsia" w:ascii="仿宋_GB2312" w:hAnsi="仿宋_GB2312" w:eastAsia="仿宋_GB2312" w:cs="仿宋_GB2312"/>
          <w:color w:val="auto"/>
          <w:sz w:val="24"/>
          <w:szCs w:val="24"/>
          <w:highlight w:val="none"/>
          <w:u w:val="none"/>
          <w:lang w:eastAsia="zh-CN"/>
        </w:rPr>
        <w:t>设</w:t>
      </w:r>
      <w:r>
        <w:rPr>
          <w:rFonts w:hint="eastAsia" w:ascii="仿宋_GB2312" w:hAnsi="仿宋_GB2312" w:eastAsia="仿宋_GB2312" w:cs="仿宋_GB2312"/>
          <w:color w:val="auto"/>
          <w:sz w:val="24"/>
          <w:szCs w:val="24"/>
          <w:highlight w:val="none"/>
          <w:u w:val="none"/>
        </w:rPr>
        <w:t>有限公司</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none"/>
        </w:rPr>
        <w:t>项目</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none"/>
          <w:lang w:val="en-US" w:eastAsia="zh-CN"/>
        </w:rPr>
        <w:t>专业分包工程</w:t>
      </w:r>
      <w:r>
        <w:rPr>
          <w:rFonts w:hint="eastAsia" w:ascii="仿宋_GB2312" w:hAnsi="仿宋_GB2312" w:eastAsia="仿宋_GB2312" w:cs="仿宋_GB2312"/>
          <w:color w:val="auto"/>
          <w:sz w:val="24"/>
          <w:szCs w:val="24"/>
          <w:highlight w:val="none"/>
          <w:u w:val="none"/>
        </w:rPr>
        <w:t>的</w:t>
      </w:r>
      <w:r>
        <w:rPr>
          <w:rFonts w:hint="eastAsia" w:ascii="仿宋_GB2312" w:hAnsi="仿宋_GB2312" w:eastAsia="仿宋_GB2312" w:cs="仿宋_GB2312"/>
          <w:color w:val="auto"/>
          <w:sz w:val="24"/>
          <w:szCs w:val="24"/>
          <w:highlight w:val="none"/>
          <w:u w:val="single"/>
          <w:lang w:val="en-US" w:eastAsia="zh-CN"/>
        </w:rPr>
        <w:t>项目经理（项目负责人）</w:t>
      </w:r>
      <w:r>
        <w:rPr>
          <w:rFonts w:hint="eastAsia" w:ascii="仿宋_GB2312" w:hAnsi="仿宋_GB2312" w:eastAsia="仿宋_GB2312" w:cs="仿宋_GB2312"/>
          <w:color w:val="auto"/>
          <w:sz w:val="24"/>
          <w:szCs w:val="24"/>
          <w:highlight w:val="none"/>
          <w:u w:val="none"/>
        </w:rPr>
        <w:t>与</w:t>
      </w:r>
      <w:r>
        <w:rPr>
          <w:rFonts w:hint="eastAsia" w:ascii="仿宋_GB2312" w:hAnsi="仿宋_GB2312" w:eastAsia="仿宋_GB2312" w:cs="仿宋_GB2312"/>
          <w:color w:val="auto"/>
          <w:sz w:val="24"/>
          <w:szCs w:val="24"/>
          <w:highlight w:val="none"/>
          <w:u w:val="none"/>
          <w:lang w:eastAsia="zh-CN"/>
        </w:rPr>
        <w:t>甲方</w:t>
      </w:r>
      <w:r>
        <w:rPr>
          <w:rFonts w:hint="eastAsia" w:ascii="仿宋_GB2312" w:hAnsi="仿宋_GB2312" w:eastAsia="仿宋_GB2312" w:cs="仿宋_GB2312"/>
          <w:color w:val="auto"/>
          <w:sz w:val="24"/>
          <w:szCs w:val="24"/>
          <w:highlight w:val="none"/>
          <w:u w:val="none"/>
        </w:rPr>
        <w:t>进行</w:t>
      </w:r>
      <w:r>
        <w:rPr>
          <w:rFonts w:hint="eastAsia" w:ascii="仿宋_GB2312" w:hAnsi="仿宋_GB2312" w:eastAsia="仿宋_GB2312" w:cs="仿宋_GB2312"/>
          <w:bCs/>
          <w:color w:val="auto"/>
          <w:kern w:val="0"/>
          <w:sz w:val="24"/>
          <w:szCs w:val="24"/>
          <w:highlight w:val="none"/>
        </w:rPr>
        <w:t>授权范围</w:t>
      </w:r>
      <w:r>
        <w:rPr>
          <w:rFonts w:hint="eastAsia" w:ascii="仿宋_GB2312" w:hAnsi="仿宋_GB2312" w:eastAsia="仿宋_GB2312" w:cs="仿宋_GB2312"/>
          <w:bCs/>
          <w:color w:val="auto"/>
          <w:kern w:val="0"/>
          <w:sz w:val="24"/>
          <w:szCs w:val="24"/>
          <w:highlight w:val="none"/>
          <w:u w:val="single"/>
        </w:rPr>
        <w:t>包括现场管理、质量、安全、工期、经济活动中的一切处置权、现场施工工人的聘用权、代为发放工资等相关权限。</w:t>
      </w:r>
      <w:r>
        <w:rPr>
          <w:rFonts w:hint="eastAsia" w:ascii="仿宋_GB2312" w:hAnsi="仿宋_GB2312" w:eastAsia="仿宋_GB2312" w:cs="仿宋_GB2312"/>
          <w:color w:val="auto"/>
          <w:sz w:val="24"/>
          <w:szCs w:val="24"/>
          <w:highlight w:val="none"/>
          <w:u w:val="none"/>
        </w:rPr>
        <w:t>受委托人所有与本项目相关的行为均对我们公司产生法律效力。</w:t>
      </w:r>
      <w:r>
        <w:rPr>
          <w:rFonts w:hint="eastAsia" w:ascii="仿宋_GB2312" w:hAnsi="仿宋_GB2312" w:eastAsia="仿宋_GB2312" w:cs="仿宋_GB2312"/>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560" w:firstLineChars="190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委托单位：</w:t>
      </w:r>
    </w:p>
    <w:p>
      <w:pPr>
        <w:pageBreakBefore w:val="0"/>
        <w:kinsoku/>
        <w:wordWrap/>
        <w:overflowPunct/>
        <w:topLinePunct w:val="0"/>
        <w:bidi w:val="0"/>
        <w:snapToGrid w:val="0"/>
        <w:spacing w:line="360" w:lineRule="auto"/>
        <w:ind w:firstLine="22"/>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法定代表人：</w:t>
      </w:r>
    </w:p>
    <w:p>
      <w:pPr>
        <w:pageBreakBefore w:val="0"/>
        <w:kinsoku/>
        <w:wordWrap/>
        <w:overflowPunct/>
        <w:topLinePunct w:val="0"/>
        <w:bidi w:val="0"/>
        <w:snapToGrid w:val="0"/>
        <w:spacing w:line="360" w:lineRule="auto"/>
        <w:ind w:firstLine="22"/>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年    月   日</w:t>
      </w:r>
    </w:p>
    <w:p>
      <w:pPr>
        <w:pageBreakBefore w:val="0"/>
        <w:kinsoku/>
        <w:wordWrap/>
        <w:overflowPunct/>
        <w:topLinePunct w:val="0"/>
        <w:bidi w:val="0"/>
        <w:spacing w:line="360" w:lineRule="auto"/>
        <w:rPr>
          <w:rFonts w:hint="eastAsia" w:ascii="仿宋_GB2312" w:hAnsi="仿宋_GB2312" w:eastAsia="仿宋_GB2312" w:cs="仿宋_GB2312"/>
          <w:color w:val="auto"/>
          <w:sz w:val="24"/>
          <w:szCs w:val="24"/>
          <w:highlight w:val="none"/>
          <w:lang w:eastAsia="zh-CN"/>
        </w:rPr>
      </w:pPr>
    </w:p>
    <w:p>
      <w:pPr>
        <w:pageBreakBefore w:val="0"/>
        <w:kinsoku/>
        <w:wordWrap/>
        <w:overflowPunct/>
        <w:topLinePunct w:val="0"/>
        <w:bidi w:val="0"/>
        <w:spacing w:line="360" w:lineRule="auto"/>
        <w:ind w:firstLine="480" w:firstLineChars="200"/>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rPr>
        <w:t>附：</w:t>
      </w:r>
      <w:r>
        <w:rPr>
          <w:rFonts w:hint="eastAsia" w:ascii="仿宋_GB2312" w:hAnsi="仿宋_GB2312" w:eastAsia="仿宋_GB2312" w:cs="仿宋_GB2312"/>
          <w:b w:val="0"/>
          <w:bCs/>
          <w:color w:val="auto"/>
          <w:sz w:val="24"/>
          <w:szCs w:val="24"/>
          <w:highlight w:val="none"/>
          <w:lang w:val="en-US" w:eastAsia="zh-CN"/>
        </w:rPr>
        <w:t>授权委托</w:t>
      </w:r>
      <w:r>
        <w:rPr>
          <w:rFonts w:hint="eastAsia" w:ascii="仿宋_GB2312" w:hAnsi="仿宋_GB2312" w:eastAsia="仿宋_GB2312" w:cs="仿宋_GB2312"/>
          <w:b w:val="0"/>
          <w:bCs/>
          <w:color w:val="auto"/>
          <w:sz w:val="24"/>
          <w:szCs w:val="24"/>
          <w:highlight w:val="none"/>
        </w:rPr>
        <w:t>人二代身份证复印件</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lang w:val="en-US" w:eastAsia="zh-CN"/>
        </w:rPr>
        <w:t>正反面</w:t>
      </w:r>
      <w:r>
        <w:rPr>
          <w:rFonts w:hint="eastAsia" w:ascii="仿宋_GB2312" w:hAnsi="仿宋_GB2312" w:eastAsia="仿宋_GB2312" w:cs="仿宋_GB2312"/>
          <w:b w:val="0"/>
          <w:bCs/>
          <w:color w:val="auto"/>
          <w:sz w:val="24"/>
          <w:szCs w:val="24"/>
          <w:highlight w:val="none"/>
          <w:lang w:eastAsia="zh-CN"/>
        </w:rPr>
        <w:t>）</w:t>
      </w:r>
    </w:p>
    <w:p>
      <w:pPr>
        <w:pageBreakBefore w:val="0"/>
        <w:kinsoku/>
        <w:wordWrap/>
        <w:overflowPunct/>
        <w:topLinePunct w:val="0"/>
        <w:bidi w:val="0"/>
        <w:spacing w:line="360" w:lineRule="auto"/>
        <w:rPr>
          <w:rFonts w:hint="eastAsia" w:ascii="仿宋_GB2312" w:hAnsi="仿宋_GB2312" w:eastAsia="仿宋_GB2312" w:cs="仿宋_GB2312"/>
          <w:color w:val="auto"/>
          <w:highlight w:val="none"/>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8"/>
              <w:pageBreakBefore w:val="0"/>
              <w:kinsoku/>
              <w:wordWrap/>
              <w:overflowPunct/>
              <w:topLinePunct w:val="0"/>
              <w:bidi w:val="0"/>
              <w:spacing w:line="360" w:lineRule="auto"/>
              <w:rPr>
                <w:rFonts w:hint="eastAsia" w:ascii="仿宋_GB2312" w:hAnsi="仿宋_GB2312" w:eastAsia="仿宋_GB2312" w:cs="仿宋_GB2312"/>
                <w:color w:val="auto"/>
                <w:highlight w:val="none"/>
                <w:lang w:eastAsia="zh-CN"/>
              </w:rPr>
            </w:pPr>
          </w:p>
          <w:p>
            <w:pPr>
              <w:pageBreakBefore w:val="0"/>
              <w:kinsoku/>
              <w:wordWrap/>
              <w:overflowPunct/>
              <w:topLinePunct w:val="0"/>
              <w:bidi w:val="0"/>
              <w:spacing w:line="360" w:lineRule="auto"/>
              <w:rPr>
                <w:rFonts w:hint="eastAsia" w:ascii="仿宋_GB2312" w:hAnsi="仿宋_GB2312" w:eastAsia="仿宋_GB2312" w:cs="仿宋_GB2312"/>
                <w:color w:val="auto"/>
                <w:highlight w:val="none"/>
                <w:lang w:eastAsia="zh-CN"/>
              </w:rPr>
            </w:pPr>
          </w:p>
          <w:p>
            <w:pPr>
              <w:pStyle w:val="8"/>
              <w:pageBreakBefore w:val="0"/>
              <w:kinsoku/>
              <w:wordWrap/>
              <w:overflowPunct/>
              <w:topLinePunct w:val="0"/>
              <w:bidi w:val="0"/>
              <w:spacing w:line="360" w:lineRule="auto"/>
              <w:rPr>
                <w:rFonts w:hint="eastAsia" w:ascii="仿宋_GB2312" w:hAnsi="仿宋_GB2312" w:eastAsia="仿宋_GB2312" w:cs="仿宋_GB2312"/>
                <w:b w:val="0"/>
                <w:bCs w:val="0"/>
                <w:color w:val="auto"/>
                <w:highlight w:val="none"/>
                <w:lang w:eastAsia="zh-CN"/>
              </w:rPr>
            </w:pPr>
          </w:p>
          <w:p>
            <w:pPr>
              <w:pageBreakBefore w:val="0"/>
              <w:kinsoku/>
              <w:wordWrap/>
              <w:overflowPunct/>
              <w:topLinePunct w:val="0"/>
              <w:bidi w:val="0"/>
              <w:spacing w:line="360" w:lineRule="auto"/>
              <w:jc w:val="center"/>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highlight w:val="none"/>
                <w:lang w:eastAsia="zh-CN"/>
              </w:rPr>
              <w:t>（</w:t>
            </w:r>
            <w:r>
              <w:rPr>
                <w:rFonts w:hint="eastAsia" w:ascii="仿宋_GB2312" w:hAnsi="仿宋_GB2312" w:eastAsia="仿宋_GB2312" w:cs="仿宋_GB2312"/>
                <w:b w:val="0"/>
                <w:bCs w:val="0"/>
                <w:color w:val="auto"/>
                <w:sz w:val="24"/>
                <w:szCs w:val="24"/>
                <w:highlight w:val="none"/>
              </w:rPr>
              <w:t>二代身份证复印件</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正反面</w:t>
            </w:r>
            <w:r>
              <w:rPr>
                <w:rFonts w:hint="eastAsia" w:ascii="仿宋_GB2312" w:hAnsi="仿宋_GB2312" w:eastAsia="仿宋_GB2312" w:cs="仿宋_GB2312"/>
                <w:b w:val="0"/>
                <w:bCs w:val="0"/>
                <w:color w:val="auto"/>
                <w:highlight w:val="none"/>
                <w:lang w:eastAsia="zh-CN"/>
              </w:rPr>
              <w:t>）</w:t>
            </w:r>
          </w:p>
          <w:p>
            <w:pPr>
              <w:pageBreakBefore w:val="0"/>
              <w:kinsoku/>
              <w:wordWrap/>
              <w:overflowPunct/>
              <w:topLinePunct w:val="0"/>
              <w:bidi w:val="0"/>
              <w:spacing w:line="360" w:lineRule="auto"/>
              <w:rPr>
                <w:rFonts w:hint="eastAsia" w:ascii="仿宋_GB2312" w:hAnsi="仿宋_GB2312" w:eastAsia="仿宋_GB2312" w:cs="仿宋_GB2312"/>
                <w:color w:val="auto"/>
                <w:highlight w:val="none"/>
                <w:lang w:eastAsia="zh-CN"/>
              </w:rPr>
            </w:pPr>
          </w:p>
          <w:p>
            <w:pPr>
              <w:pageBreakBefore w:val="0"/>
              <w:kinsoku/>
              <w:wordWrap/>
              <w:overflowPunct/>
              <w:topLinePunct w:val="0"/>
              <w:bidi w:val="0"/>
              <w:spacing w:line="360" w:lineRule="auto"/>
              <w:jc w:val="both"/>
              <w:rPr>
                <w:rFonts w:hint="eastAsia" w:ascii="仿宋_GB2312" w:hAnsi="仿宋_GB2312" w:eastAsia="仿宋_GB2312" w:cs="仿宋_GB2312"/>
                <w:color w:val="auto"/>
                <w:highlight w:val="none"/>
                <w:lang w:eastAsia="zh-CN"/>
              </w:rPr>
            </w:pPr>
          </w:p>
          <w:p>
            <w:pPr>
              <w:pStyle w:val="8"/>
              <w:pageBreakBefore w:val="0"/>
              <w:kinsoku/>
              <w:wordWrap/>
              <w:overflowPunct/>
              <w:topLinePunct w:val="0"/>
              <w:bidi w:val="0"/>
              <w:spacing w:line="360" w:lineRule="auto"/>
              <w:rPr>
                <w:rFonts w:hint="eastAsia" w:ascii="仿宋_GB2312" w:hAnsi="仿宋_GB2312" w:eastAsia="仿宋_GB2312" w:cs="仿宋_GB2312"/>
                <w:color w:val="auto"/>
                <w:highlight w:val="none"/>
                <w:lang w:eastAsia="zh-CN"/>
              </w:rPr>
            </w:pPr>
          </w:p>
        </w:tc>
      </w:tr>
    </w:tbl>
    <w:p>
      <w:pPr>
        <w:pageBreakBefore w:val="0"/>
        <w:kinsoku/>
        <w:wordWrap/>
        <w:overflowPunct/>
        <w:topLinePunct w:val="0"/>
        <w:bidi w:val="0"/>
        <w:spacing w:line="360" w:lineRule="auto"/>
        <w:rPr>
          <w:rFonts w:hint="eastAsia" w:ascii="仿宋_GB2312" w:hAnsi="仿宋_GB2312" w:eastAsia="仿宋_GB2312" w:cs="仿宋_GB2312"/>
          <w:color w:val="auto"/>
          <w:sz w:val="25"/>
          <w:szCs w:val="25"/>
          <w:highlight w:val="none"/>
        </w:rPr>
      </w:pPr>
      <w:r>
        <w:rPr>
          <w:rFonts w:hint="eastAsia" w:ascii="仿宋_GB2312" w:hAnsi="仿宋_GB2312" w:eastAsia="仿宋_GB2312" w:cs="仿宋_GB2312"/>
          <w:color w:val="auto"/>
          <w:sz w:val="24"/>
          <w:szCs w:val="24"/>
          <w:highlight w:val="none"/>
          <w:lang w:eastAsia="zh-CN"/>
        </w:rPr>
        <w:br w:type="page"/>
      </w:r>
    </w:p>
    <w:p>
      <w:pPr>
        <w:pStyle w:val="28"/>
        <w:bidi w:val="0"/>
        <w:outlineLvl w:val="1"/>
        <w:rPr>
          <w:rFonts w:hint="eastAsia"/>
          <w:color w:val="auto"/>
          <w:highlight w:val="none"/>
        </w:rPr>
      </w:pPr>
      <w:bookmarkStart w:id="971" w:name="_Toc30214"/>
      <w:bookmarkStart w:id="972" w:name="_Toc9386"/>
      <w:r>
        <w:rPr>
          <w:rFonts w:hint="eastAsia"/>
          <w:color w:val="auto"/>
          <w:highlight w:val="none"/>
        </w:rPr>
        <w:t>附件</w:t>
      </w:r>
      <w:r>
        <w:rPr>
          <w:rFonts w:hint="eastAsia"/>
          <w:color w:val="auto"/>
          <w:highlight w:val="none"/>
          <w:lang w:val="en-US" w:eastAsia="zh-CN"/>
        </w:rPr>
        <w:t>十四 授权委托书：结算管理工作代表</w:t>
      </w:r>
      <w:bookmarkEnd w:id="971"/>
      <w:bookmarkEnd w:id="972"/>
    </w:p>
    <w:p>
      <w:pPr>
        <w:pageBreakBefore w:val="0"/>
        <w:kinsoku/>
        <w:wordWrap/>
        <w:overflowPunct/>
        <w:topLinePunct w:val="0"/>
        <w:bidi w:val="0"/>
        <w:snapToGrid w:val="0"/>
        <w:spacing w:line="360" w:lineRule="auto"/>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5"/>
          <w:szCs w:val="25"/>
          <w:highlight w:val="none"/>
        </w:rPr>
        <w:t>授 权 委 托 书</w:t>
      </w:r>
    </w:p>
    <w:p>
      <w:pPr>
        <w:pageBreakBefore w:val="0"/>
        <w:kinsoku/>
        <w:wordWrap/>
        <w:overflowPunct/>
        <w:topLinePunct w:val="0"/>
        <w:bidi w:val="0"/>
        <w:snapToGrid w:val="0"/>
        <w:spacing w:line="360" w:lineRule="auto"/>
        <w:ind w:firstLine="2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委托单位： </w:t>
      </w:r>
    </w:p>
    <w:p>
      <w:pPr>
        <w:pageBreakBefore w:val="0"/>
        <w:kinsoku/>
        <w:wordWrap/>
        <w:overflowPunct/>
        <w:topLinePunct w:val="0"/>
        <w:bidi w:val="0"/>
        <w:snapToGrid w:val="0"/>
        <w:spacing w:line="360" w:lineRule="auto"/>
        <w:ind w:firstLine="2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法定代表人：            </w:t>
      </w:r>
    </w:p>
    <w:p>
      <w:pPr>
        <w:pageBreakBefore w:val="0"/>
        <w:kinsoku/>
        <w:wordWrap/>
        <w:overflowPunct/>
        <w:topLinePunct w:val="0"/>
        <w:bidi w:val="0"/>
        <w:snapToGrid w:val="0"/>
        <w:spacing w:line="360" w:lineRule="auto"/>
        <w:ind w:firstLine="2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职务： </w:t>
      </w:r>
    </w:p>
    <w:p>
      <w:pPr>
        <w:pageBreakBefore w:val="0"/>
        <w:kinsoku/>
        <w:wordWrap/>
        <w:overflowPunct/>
        <w:topLinePunct w:val="0"/>
        <w:bidi w:val="0"/>
        <w:snapToGrid w:val="0"/>
        <w:spacing w:line="360" w:lineRule="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受委托人：姓 名：</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 xml:space="preserve"> 身份证号：</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 xml:space="preserve"> </w:t>
      </w:r>
    </w:p>
    <w:p>
      <w:pPr>
        <w:pageBreakBefore w:val="0"/>
        <w:kinsoku/>
        <w:wordWrap/>
        <w:overflowPunct/>
        <w:topLinePunct w:val="0"/>
        <w:bidi w:val="0"/>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工作单位：</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职    务：</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 xml:space="preserve">  </w:t>
      </w:r>
    </w:p>
    <w:p>
      <w:pPr>
        <w:pageBreakBefore w:val="0"/>
        <w:kinsoku/>
        <w:wordWrap/>
        <w:overflowPunct/>
        <w:topLinePunct w:val="0"/>
        <w:bidi w:val="0"/>
        <w:snapToGrid w:val="0"/>
        <w:spacing w:line="360" w:lineRule="auto"/>
        <w:rPr>
          <w:rFonts w:hint="default"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rPr>
        <w:t>电    话</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地    址：</w:t>
      </w:r>
      <w:r>
        <w:rPr>
          <w:rFonts w:hint="eastAsia" w:ascii="仿宋_GB2312" w:hAnsi="仿宋_GB2312" w:eastAsia="仿宋_GB2312" w:cs="仿宋_GB2312"/>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现委托</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作为我公司驻</w:t>
      </w:r>
      <w:r>
        <w:rPr>
          <w:rFonts w:hint="eastAsia" w:ascii="仿宋_GB2312" w:hAnsi="仿宋_GB2312" w:eastAsia="仿宋_GB2312" w:cs="仿宋_GB2312"/>
          <w:color w:val="auto"/>
          <w:sz w:val="24"/>
          <w:szCs w:val="24"/>
          <w:highlight w:val="none"/>
          <w:u w:val="none"/>
        </w:rPr>
        <w:t>云南建</w:t>
      </w:r>
      <w:r>
        <w:rPr>
          <w:rFonts w:hint="eastAsia" w:ascii="仿宋_GB2312" w:hAnsi="仿宋_GB2312" w:eastAsia="仿宋_GB2312" w:cs="仿宋_GB2312"/>
          <w:color w:val="auto"/>
          <w:sz w:val="24"/>
          <w:szCs w:val="24"/>
          <w:highlight w:val="none"/>
          <w:u w:val="none"/>
          <w:lang w:eastAsia="zh-CN"/>
        </w:rPr>
        <w:t>投</w:t>
      </w:r>
      <w:r>
        <w:rPr>
          <w:rFonts w:hint="eastAsia" w:ascii="仿宋_GB2312" w:hAnsi="仿宋_GB2312" w:eastAsia="仿宋_GB2312" w:cs="仿宋_GB2312"/>
          <w:color w:val="auto"/>
          <w:sz w:val="24"/>
          <w:szCs w:val="24"/>
          <w:highlight w:val="none"/>
          <w:u w:val="none"/>
        </w:rPr>
        <w:t>第十建</w:t>
      </w:r>
      <w:r>
        <w:rPr>
          <w:rFonts w:hint="eastAsia" w:ascii="仿宋_GB2312" w:hAnsi="仿宋_GB2312" w:eastAsia="仿宋_GB2312" w:cs="仿宋_GB2312"/>
          <w:color w:val="auto"/>
          <w:sz w:val="24"/>
          <w:szCs w:val="24"/>
          <w:highlight w:val="none"/>
          <w:u w:val="none"/>
          <w:lang w:eastAsia="zh-CN"/>
        </w:rPr>
        <w:t>设</w:t>
      </w:r>
      <w:r>
        <w:rPr>
          <w:rFonts w:hint="eastAsia" w:ascii="仿宋_GB2312" w:hAnsi="仿宋_GB2312" w:eastAsia="仿宋_GB2312" w:cs="仿宋_GB2312"/>
          <w:color w:val="auto"/>
          <w:sz w:val="24"/>
          <w:szCs w:val="24"/>
          <w:highlight w:val="none"/>
          <w:u w:val="none"/>
        </w:rPr>
        <w:t>有限公司</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none"/>
        </w:rPr>
        <w:t>项目</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none"/>
          <w:lang w:val="en-US" w:eastAsia="zh-CN"/>
        </w:rPr>
        <w:t>专业分包工程</w:t>
      </w:r>
      <w:r>
        <w:rPr>
          <w:rFonts w:hint="eastAsia" w:ascii="仿宋_GB2312" w:hAnsi="仿宋_GB2312" w:eastAsia="仿宋_GB2312" w:cs="仿宋_GB2312"/>
          <w:color w:val="auto"/>
          <w:sz w:val="24"/>
          <w:szCs w:val="24"/>
          <w:highlight w:val="none"/>
          <w:u w:val="none"/>
        </w:rPr>
        <w:t>的</w:t>
      </w:r>
      <w:r>
        <w:rPr>
          <w:rFonts w:hint="eastAsia" w:ascii="仿宋_GB2312" w:hAnsi="仿宋_GB2312" w:eastAsia="仿宋_GB2312" w:cs="仿宋_GB2312"/>
          <w:b w:val="0"/>
          <w:bCs w:val="0"/>
          <w:color w:val="auto"/>
          <w:sz w:val="24"/>
          <w:szCs w:val="24"/>
          <w:highlight w:val="none"/>
          <w:u w:val="single"/>
        </w:rPr>
        <w:t>结算管理工作代表</w:t>
      </w:r>
      <w:r>
        <w:rPr>
          <w:rFonts w:hint="eastAsia" w:ascii="仿宋_GB2312" w:hAnsi="仿宋_GB2312" w:eastAsia="仿宋_GB2312" w:cs="仿宋_GB2312"/>
          <w:color w:val="auto"/>
          <w:sz w:val="24"/>
          <w:szCs w:val="24"/>
          <w:highlight w:val="none"/>
          <w:u w:val="none"/>
        </w:rPr>
        <w:t>与</w:t>
      </w:r>
      <w:r>
        <w:rPr>
          <w:rFonts w:hint="eastAsia" w:ascii="仿宋_GB2312" w:hAnsi="仿宋_GB2312" w:eastAsia="仿宋_GB2312" w:cs="仿宋_GB2312"/>
          <w:color w:val="auto"/>
          <w:sz w:val="24"/>
          <w:szCs w:val="24"/>
          <w:highlight w:val="none"/>
          <w:u w:val="none"/>
          <w:lang w:eastAsia="zh-CN"/>
        </w:rPr>
        <w:t>甲方</w:t>
      </w:r>
      <w:r>
        <w:rPr>
          <w:rFonts w:hint="eastAsia" w:ascii="仿宋_GB2312" w:hAnsi="仿宋_GB2312" w:eastAsia="仿宋_GB2312" w:cs="仿宋_GB2312"/>
          <w:color w:val="auto"/>
          <w:sz w:val="24"/>
          <w:szCs w:val="24"/>
          <w:highlight w:val="none"/>
          <w:u w:val="none"/>
        </w:rPr>
        <w:t>进行授权范围</w:t>
      </w:r>
      <w:r>
        <w:rPr>
          <w:rFonts w:hint="eastAsia" w:ascii="仿宋_GB2312" w:hAnsi="仿宋_GB2312" w:eastAsia="仿宋_GB2312" w:cs="仿宋_GB2312"/>
          <w:color w:val="auto"/>
          <w:sz w:val="24"/>
          <w:szCs w:val="24"/>
          <w:highlight w:val="none"/>
          <w:u w:val="single"/>
        </w:rPr>
        <w:t>包</w:t>
      </w:r>
      <w:r>
        <w:rPr>
          <w:rFonts w:hint="eastAsia" w:ascii="仿宋_GB2312" w:hAnsi="仿宋_GB2312" w:eastAsia="仿宋_GB2312" w:cs="仿宋_GB2312"/>
          <w:color w:val="auto"/>
          <w:sz w:val="24"/>
          <w:szCs w:val="24"/>
          <w:highlight w:val="none"/>
          <w:u w:val="single"/>
          <w:lang w:val="en-US" w:eastAsia="zh-CN"/>
        </w:rPr>
        <w:t>括</w:t>
      </w:r>
      <w:r>
        <w:rPr>
          <w:rFonts w:hint="eastAsia" w:ascii="仿宋_GB2312" w:hAnsi="仿宋_GB2312" w:eastAsia="仿宋_GB2312" w:cs="仿宋_GB2312"/>
          <w:color w:val="auto"/>
          <w:sz w:val="24"/>
          <w:szCs w:val="24"/>
          <w:highlight w:val="none"/>
          <w:u w:val="single"/>
        </w:rPr>
        <w:t>工程量、中间计量、结算、费用等工作的签字及确认</w:t>
      </w:r>
      <w:r>
        <w:rPr>
          <w:rFonts w:hint="eastAsia" w:ascii="仿宋_GB2312" w:hAnsi="仿宋_GB2312" w:eastAsia="仿宋_GB2312" w:cs="仿宋_GB2312"/>
          <w:color w:val="auto"/>
          <w:sz w:val="24"/>
          <w:szCs w:val="24"/>
          <w:highlight w:val="none"/>
          <w:u w:val="none"/>
        </w:rPr>
        <w:t>。受委托人所有与本项目相关的行为均对我们公司产生法律效力。</w:t>
      </w:r>
      <w:r>
        <w:rPr>
          <w:rFonts w:hint="eastAsia" w:ascii="仿宋_GB2312" w:hAnsi="仿宋_GB2312" w:eastAsia="仿宋_GB2312" w:cs="仿宋_GB2312"/>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560" w:firstLineChars="190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委托单位：</w:t>
      </w:r>
    </w:p>
    <w:p>
      <w:pPr>
        <w:pageBreakBefore w:val="0"/>
        <w:kinsoku/>
        <w:wordWrap/>
        <w:overflowPunct/>
        <w:topLinePunct w:val="0"/>
        <w:bidi w:val="0"/>
        <w:snapToGrid w:val="0"/>
        <w:spacing w:line="360" w:lineRule="auto"/>
        <w:ind w:firstLine="22"/>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法定代表人：</w:t>
      </w:r>
    </w:p>
    <w:p>
      <w:pPr>
        <w:pageBreakBefore w:val="0"/>
        <w:kinsoku/>
        <w:wordWrap/>
        <w:overflowPunct/>
        <w:topLinePunct w:val="0"/>
        <w:bidi w:val="0"/>
        <w:snapToGrid w:val="0"/>
        <w:spacing w:line="360" w:lineRule="auto"/>
        <w:ind w:firstLine="22"/>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年    月   日</w:t>
      </w:r>
    </w:p>
    <w:p>
      <w:pPr>
        <w:pageBreakBefore w:val="0"/>
        <w:kinsoku/>
        <w:wordWrap/>
        <w:overflowPunct/>
        <w:topLinePunct w:val="0"/>
        <w:bidi w:val="0"/>
        <w:spacing w:line="360" w:lineRule="auto"/>
        <w:rPr>
          <w:rFonts w:hint="eastAsia" w:ascii="仿宋_GB2312" w:hAnsi="仿宋_GB2312" w:eastAsia="仿宋_GB2312" w:cs="仿宋_GB2312"/>
          <w:color w:val="auto"/>
          <w:sz w:val="24"/>
          <w:szCs w:val="24"/>
          <w:highlight w:val="none"/>
          <w:lang w:eastAsia="zh-CN"/>
        </w:rPr>
      </w:pPr>
    </w:p>
    <w:p>
      <w:pPr>
        <w:pageBreakBefore w:val="0"/>
        <w:kinsoku/>
        <w:wordWrap/>
        <w:overflowPunct/>
        <w:topLinePunct w:val="0"/>
        <w:bidi w:val="0"/>
        <w:spacing w:line="360" w:lineRule="auto"/>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附：</w:t>
      </w:r>
      <w:r>
        <w:rPr>
          <w:rFonts w:hint="eastAsia" w:ascii="仿宋_GB2312" w:hAnsi="仿宋_GB2312" w:eastAsia="仿宋_GB2312" w:cs="仿宋_GB2312"/>
          <w:color w:val="auto"/>
          <w:sz w:val="24"/>
          <w:szCs w:val="24"/>
          <w:highlight w:val="none"/>
          <w:lang w:val="en-US" w:eastAsia="zh-CN"/>
        </w:rPr>
        <w:t>授权委托</w:t>
      </w:r>
      <w:r>
        <w:rPr>
          <w:rFonts w:hint="eastAsia" w:ascii="仿宋_GB2312" w:hAnsi="仿宋_GB2312" w:eastAsia="仿宋_GB2312" w:cs="仿宋_GB2312"/>
          <w:color w:val="auto"/>
          <w:sz w:val="24"/>
          <w:szCs w:val="24"/>
          <w:highlight w:val="none"/>
          <w:lang w:eastAsia="zh-CN"/>
        </w:rPr>
        <w:t>人二代身份证复印件（</w:t>
      </w:r>
      <w:r>
        <w:rPr>
          <w:rFonts w:hint="eastAsia" w:ascii="仿宋_GB2312" w:hAnsi="仿宋_GB2312" w:eastAsia="仿宋_GB2312" w:cs="仿宋_GB2312"/>
          <w:color w:val="auto"/>
          <w:sz w:val="24"/>
          <w:szCs w:val="24"/>
          <w:highlight w:val="none"/>
          <w:lang w:val="en-US" w:eastAsia="zh-CN"/>
        </w:rPr>
        <w:t>正反面</w:t>
      </w:r>
      <w:r>
        <w:rPr>
          <w:rFonts w:hint="eastAsia" w:ascii="仿宋_GB2312" w:hAnsi="仿宋_GB2312" w:eastAsia="仿宋_GB2312" w:cs="仿宋_GB2312"/>
          <w:color w:val="auto"/>
          <w:sz w:val="24"/>
          <w:szCs w:val="24"/>
          <w:highlight w:val="none"/>
          <w:lang w:eastAsia="zh-CN"/>
        </w:rPr>
        <w:t>）</w:t>
      </w:r>
    </w:p>
    <w:p>
      <w:pPr>
        <w:pageBreakBefore w:val="0"/>
        <w:kinsoku/>
        <w:wordWrap/>
        <w:overflowPunct/>
        <w:topLinePunct w:val="0"/>
        <w:bidi w:val="0"/>
        <w:spacing w:line="360" w:lineRule="auto"/>
        <w:rPr>
          <w:rFonts w:hint="eastAsia" w:ascii="仿宋_GB2312" w:hAnsi="仿宋_GB2312" w:eastAsia="仿宋_GB2312" w:cs="仿宋_GB2312"/>
          <w:color w:val="auto"/>
          <w:highlight w:val="none"/>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8"/>
              <w:pageBreakBefore w:val="0"/>
              <w:kinsoku/>
              <w:wordWrap/>
              <w:overflowPunct/>
              <w:topLinePunct w:val="0"/>
              <w:bidi w:val="0"/>
              <w:spacing w:line="360" w:lineRule="auto"/>
              <w:rPr>
                <w:rFonts w:hint="eastAsia" w:ascii="仿宋_GB2312" w:hAnsi="仿宋_GB2312" w:eastAsia="仿宋_GB2312" w:cs="仿宋_GB2312"/>
                <w:color w:val="auto"/>
                <w:highlight w:val="none"/>
                <w:lang w:eastAsia="zh-CN"/>
              </w:rPr>
            </w:pPr>
          </w:p>
          <w:p>
            <w:pPr>
              <w:pageBreakBefore w:val="0"/>
              <w:kinsoku/>
              <w:wordWrap/>
              <w:overflowPunct/>
              <w:topLinePunct w:val="0"/>
              <w:bidi w:val="0"/>
              <w:spacing w:line="360" w:lineRule="auto"/>
              <w:rPr>
                <w:rFonts w:hint="eastAsia" w:ascii="仿宋_GB2312" w:hAnsi="仿宋_GB2312" w:eastAsia="仿宋_GB2312" w:cs="仿宋_GB2312"/>
                <w:color w:val="auto"/>
                <w:highlight w:val="none"/>
                <w:lang w:eastAsia="zh-CN"/>
              </w:rPr>
            </w:pPr>
          </w:p>
          <w:p>
            <w:pPr>
              <w:pStyle w:val="8"/>
              <w:pageBreakBefore w:val="0"/>
              <w:kinsoku/>
              <w:wordWrap/>
              <w:overflowPunct/>
              <w:topLinePunct w:val="0"/>
              <w:bidi w:val="0"/>
              <w:spacing w:line="360" w:lineRule="auto"/>
              <w:rPr>
                <w:rFonts w:hint="eastAsia" w:ascii="仿宋_GB2312" w:hAnsi="仿宋_GB2312" w:eastAsia="仿宋_GB2312" w:cs="仿宋_GB2312"/>
                <w:b w:val="0"/>
                <w:bCs w:val="0"/>
                <w:color w:val="auto"/>
                <w:highlight w:val="none"/>
                <w:lang w:eastAsia="zh-CN"/>
              </w:rPr>
            </w:pPr>
          </w:p>
          <w:p>
            <w:pPr>
              <w:pageBreakBefore w:val="0"/>
              <w:kinsoku/>
              <w:wordWrap/>
              <w:overflowPunct/>
              <w:topLinePunct w:val="0"/>
              <w:bidi w:val="0"/>
              <w:spacing w:line="360" w:lineRule="auto"/>
              <w:jc w:val="center"/>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highlight w:val="none"/>
                <w:lang w:eastAsia="zh-CN"/>
              </w:rPr>
              <w:t>（</w:t>
            </w:r>
            <w:r>
              <w:rPr>
                <w:rFonts w:hint="eastAsia" w:ascii="仿宋_GB2312" w:hAnsi="仿宋_GB2312" w:eastAsia="仿宋_GB2312" w:cs="仿宋_GB2312"/>
                <w:b w:val="0"/>
                <w:bCs w:val="0"/>
                <w:color w:val="auto"/>
                <w:sz w:val="24"/>
                <w:szCs w:val="24"/>
                <w:highlight w:val="none"/>
              </w:rPr>
              <w:t>二代身份证复印件</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正反面</w:t>
            </w:r>
            <w:r>
              <w:rPr>
                <w:rFonts w:hint="eastAsia" w:ascii="仿宋_GB2312" w:hAnsi="仿宋_GB2312" w:eastAsia="仿宋_GB2312" w:cs="仿宋_GB2312"/>
                <w:b w:val="0"/>
                <w:bCs w:val="0"/>
                <w:color w:val="auto"/>
                <w:highlight w:val="none"/>
                <w:lang w:eastAsia="zh-CN"/>
              </w:rPr>
              <w:t>）</w:t>
            </w:r>
          </w:p>
          <w:p>
            <w:pPr>
              <w:pageBreakBefore w:val="0"/>
              <w:kinsoku/>
              <w:wordWrap/>
              <w:overflowPunct/>
              <w:topLinePunct w:val="0"/>
              <w:bidi w:val="0"/>
              <w:spacing w:line="360" w:lineRule="auto"/>
              <w:rPr>
                <w:rFonts w:hint="eastAsia" w:ascii="仿宋_GB2312" w:hAnsi="仿宋_GB2312" w:eastAsia="仿宋_GB2312" w:cs="仿宋_GB2312"/>
                <w:color w:val="auto"/>
                <w:highlight w:val="none"/>
                <w:lang w:eastAsia="zh-CN"/>
              </w:rPr>
            </w:pPr>
          </w:p>
          <w:p>
            <w:pPr>
              <w:pStyle w:val="8"/>
              <w:pageBreakBefore w:val="0"/>
              <w:kinsoku/>
              <w:wordWrap/>
              <w:overflowPunct/>
              <w:topLinePunct w:val="0"/>
              <w:bidi w:val="0"/>
              <w:spacing w:line="360" w:lineRule="auto"/>
              <w:rPr>
                <w:rFonts w:hint="eastAsia" w:ascii="仿宋_GB2312" w:hAnsi="仿宋_GB2312" w:eastAsia="仿宋_GB2312" w:cs="仿宋_GB2312"/>
                <w:color w:val="auto"/>
                <w:highlight w:val="none"/>
                <w:lang w:eastAsia="zh-CN"/>
              </w:rPr>
            </w:pPr>
          </w:p>
          <w:p>
            <w:pPr>
              <w:pageBreakBefore w:val="0"/>
              <w:kinsoku/>
              <w:wordWrap/>
              <w:overflowPunct/>
              <w:topLinePunct w:val="0"/>
              <w:bidi w:val="0"/>
              <w:spacing w:line="360" w:lineRule="auto"/>
              <w:rPr>
                <w:rFonts w:hint="eastAsia" w:ascii="仿宋_GB2312" w:hAnsi="仿宋_GB2312" w:eastAsia="仿宋_GB2312" w:cs="仿宋_GB2312"/>
                <w:color w:val="auto"/>
                <w:highlight w:val="none"/>
                <w:lang w:eastAsia="zh-CN"/>
              </w:rPr>
            </w:pPr>
          </w:p>
          <w:p>
            <w:pPr>
              <w:pageBreakBefore w:val="0"/>
              <w:kinsoku/>
              <w:wordWrap/>
              <w:overflowPunct/>
              <w:topLinePunct w:val="0"/>
              <w:bidi w:val="0"/>
              <w:spacing w:line="360" w:lineRule="auto"/>
              <w:jc w:val="center"/>
              <w:rPr>
                <w:rFonts w:hint="eastAsia" w:ascii="仿宋_GB2312" w:hAnsi="仿宋_GB2312" w:eastAsia="仿宋_GB2312" w:cs="仿宋_GB2312"/>
                <w:color w:val="auto"/>
                <w:highlight w:val="none"/>
                <w:lang w:eastAsia="zh-CN"/>
              </w:rPr>
            </w:pPr>
          </w:p>
          <w:p>
            <w:pPr>
              <w:pStyle w:val="8"/>
              <w:pageBreakBefore w:val="0"/>
              <w:kinsoku/>
              <w:wordWrap/>
              <w:overflowPunct/>
              <w:topLinePunct w:val="0"/>
              <w:bidi w:val="0"/>
              <w:spacing w:line="360" w:lineRule="auto"/>
              <w:rPr>
                <w:rFonts w:hint="eastAsia" w:ascii="仿宋_GB2312" w:hAnsi="仿宋_GB2312" w:eastAsia="仿宋_GB2312" w:cs="仿宋_GB2312"/>
                <w:color w:val="auto"/>
                <w:highlight w:val="none"/>
                <w:lang w:eastAsia="zh-CN"/>
              </w:rPr>
            </w:pPr>
          </w:p>
        </w:tc>
      </w:tr>
    </w:tbl>
    <w:p>
      <w:pPr>
        <w:pageBreakBefore w:val="0"/>
        <w:kinsoku/>
        <w:wordWrap/>
        <w:overflowPunct/>
        <w:topLinePunct w:val="0"/>
        <w:bidi w:val="0"/>
        <w:spacing w:line="360" w:lineRule="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br w:type="page"/>
      </w:r>
    </w:p>
    <w:p>
      <w:pPr>
        <w:pStyle w:val="28"/>
        <w:bidi w:val="0"/>
        <w:outlineLvl w:val="1"/>
        <w:rPr>
          <w:rFonts w:hint="default"/>
          <w:color w:val="auto"/>
          <w:highlight w:val="none"/>
          <w:lang w:val="en-US"/>
        </w:rPr>
      </w:pPr>
      <w:bookmarkStart w:id="973" w:name="_Toc21408"/>
      <w:bookmarkStart w:id="974" w:name="_Toc31470"/>
      <w:r>
        <w:rPr>
          <w:rFonts w:hint="eastAsia"/>
          <w:color w:val="auto"/>
          <w:highlight w:val="none"/>
        </w:rPr>
        <w:t>附件</w:t>
      </w:r>
      <w:r>
        <w:rPr>
          <w:rFonts w:hint="eastAsia"/>
          <w:color w:val="auto"/>
          <w:highlight w:val="none"/>
          <w:lang w:val="en-US" w:eastAsia="zh-CN"/>
        </w:rPr>
        <w:t>十五 授权委托书：专职安全员</w:t>
      </w:r>
      <w:bookmarkEnd w:id="973"/>
      <w:bookmarkEnd w:id="974"/>
    </w:p>
    <w:p>
      <w:pPr>
        <w:pageBreakBefore w:val="0"/>
        <w:kinsoku/>
        <w:wordWrap/>
        <w:overflowPunct/>
        <w:topLinePunct w:val="0"/>
        <w:bidi w:val="0"/>
        <w:snapToGrid w:val="0"/>
        <w:spacing w:line="360" w:lineRule="auto"/>
        <w:jc w:val="center"/>
        <w:rPr>
          <w:rFonts w:hint="eastAsia" w:ascii="仿宋_GB2312" w:hAnsi="仿宋_GB2312" w:eastAsia="仿宋_GB2312" w:cs="仿宋_GB2312"/>
          <w:b/>
          <w:color w:val="auto"/>
          <w:sz w:val="25"/>
          <w:szCs w:val="25"/>
          <w:highlight w:val="none"/>
        </w:rPr>
      </w:pPr>
    </w:p>
    <w:p>
      <w:pPr>
        <w:pageBreakBefore w:val="0"/>
        <w:kinsoku/>
        <w:wordWrap/>
        <w:overflowPunct/>
        <w:topLinePunct w:val="0"/>
        <w:bidi w:val="0"/>
        <w:snapToGrid w:val="0"/>
        <w:spacing w:line="360" w:lineRule="auto"/>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5"/>
          <w:szCs w:val="25"/>
          <w:highlight w:val="none"/>
        </w:rPr>
        <w:t>授 权 委 托 书</w:t>
      </w:r>
    </w:p>
    <w:p>
      <w:pPr>
        <w:pageBreakBefore w:val="0"/>
        <w:kinsoku/>
        <w:wordWrap/>
        <w:overflowPunct/>
        <w:topLinePunct w:val="0"/>
        <w:bidi w:val="0"/>
        <w:snapToGrid w:val="0"/>
        <w:spacing w:line="360" w:lineRule="auto"/>
        <w:ind w:firstLine="2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委托单位： </w:t>
      </w:r>
    </w:p>
    <w:p>
      <w:pPr>
        <w:pageBreakBefore w:val="0"/>
        <w:kinsoku/>
        <w:wordWrap/>
        <w:overflowPunct/>
        <w:topLinePunct w:val="0"/>
        <w:bidi w:val="0"/>
        <w:snapToGrid w:val="0"/>
        <w:spacing w:line="360" w:lineRule="auto"/>
        <w:ind w:firstLine="2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法定代表人：            </w:t>
      </w:r>
    </w:p>
    <w:p>
      <w:pPr>
        <w:pageBreakBefore w:val="0"/>
        <w:kinsoku/>
        <w:wordWrap/>
        <w:overflowPunct/>
        <w:topLinePunct w:val="0"/>
        <w:bidi w:val="0"/>
        <w:snapToGrid w:val="0"/>
        <w:spacing w:line="360" w:lineRule="auto"/>
        <w:ind w:firstLine="2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职务： </w:t>
      </w:r>
    </w:p>
    <w:p>
      <w:pPr>
        <w:pageBreakBefore w:val="0"/>
        <w:kinsoku/>
        <w:wordWrap/>
        <w:overflowPunct/>
        <w:topLinePunct w:val="0"/>
        <w:bidi w:val="0"/>
        <w:snapToGrid w:val="0"/>
        <w:spacing w:line="360" w:lineRule="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受委托人：姓 名：</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 xml:space="preserve"> 身份证号：</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 xml:space="preserve"> </w:t>
      </w:r>
    </w:p>
    <w:p>
      <w:pPr>
        <w:pageBreakBefore w:val="0"/>
        <w:kinsoku/>
        <w:wordWrap/>
        <w:overflowPunct/>
        <w:topLinePunct w:val="0"/>
        <w:bidi w:val="0"/>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工作单位：</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职    务：</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 xml:space="preserve">  </w:t>
      </w:r>
    </w:p>
    <w:p>
      <w:pPr>
        <w:pageBreakBefore w:val="0"/>
        <w:kinsoku/>
        <w:wordWrap/>
        <w:overflowPunct/>
        <w:topLinePunct w:val="0"/>
        <w:bidi w:val="0"/>
        <w:snapToGrid w:val="0"/>
        <w:spacing w:line="360" w:lineRule="auto"/>
        <w:rPr>
          <w:rFonts w:hint="default"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rPr>
        <w:t>电    话</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地    址：</w:t>
      </w:r>
      <w:r>
        <w:rPr>
          <w:rFonts w:hint="eastAsia" w:ascii="仿宋_GB2312" w:hAnsi="仿宋_GB2312" w:eastAsia="仿宋_GB2312" w:cs="仿宋_GB2312"/>
          <w:color w:val="auto"/>
          <w:sz w:val="24"/>
          <w:szCs w:val="24"/>
          <w:highlight w:val="none"/>
          <w:u w:val="single"/>
          <w:lang w:val="en-US" w:eastAsia="zh-CN"/>
        </w:rPr>
        <w:t xml:space="preserve">                            </w:t>
      </w:r>
    </w:p>
    <w:p>
      <w:pPr>
        <w:pageBreakBefore w:val="0"/>
        <w:kinsoku/>
        <w:wordWrap/>
        <w:overflowPunct/>
        <w:topLinePunct w:val="0"/>
        <w:bidi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现委托</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作为我公司驻</w:t>
      </w:r>
      <w:r>
        <w:rPr>
          <w:rFonts w:hint="eastAsia" w:ascii="仿宋_GB2312" w:hAnsi="仿宋_GB2312" w:eastAsia="仿宋_GB2312" w:cs="仿宋_GB2312"/>
          <w:color w:val="auto"/>
          <w:sz w:val="24"/>
          <w:szCs w:val="24"/>
          <w:highlight w:val="none"/>
          <w:u w:val="none"/>
        </w:rPr>
        <w:t>云南建</w:t>
      </w:r>
      <w:r>
        <w:rPr>
          <w:rFonts w:hint="eastAsia" w:ascii="仿宋_GB2312" w:hAnsi="仿宋_GB2312" w:eastAsia="仿宋_GB2312" w:cs="仿宋_GB2312"/>
          <w:color w:val="auto"/>
          <w:sz w:val="24"/>
          <w:szCs w:val="24"/>
          <w:highlight w:val="none"/>
          <w:u w:val="none"/>
          <w:lang w:eastAsia="zh-CN"/>
        </w:rPr>
        <w:t>投</w:t>
      </w:r>
      <w:r>
        <w:rPr>
          <w:rFonts w:hint="eastAsia" w:ascii="仿宋_GB2312" w:hAnsi="仿宋_GB2312" w:eastAsia="仿宋_GB2312" w:cs="仿宋_GB2312"/>
          <w:color w:val="auto"/>
          <w:sz w:val="24"/>
          <w:szCs w:val="24"/>
          <w:highlight w:val="none"/>
          <w:u w:val="none"/>
        </w:rPr>
        <w:t>第十建</w:t>
      </w:r>
      <w:r>
        <w:rPr>
          <w:rFonts w:hint="eastAsia" w:ascii="仿宋_GB2312" w:hAnsi="仿宋_GB2312" w:eastAsia="仿宋_GB2312" w:cs="仿宋_GB2312"/>
          <w:color w:val="auto"/>
          <w:sz w:val="24"/>
          <w:szCs w:val="24"/>
          <w:highlight w:val="none"/>
          <w:u w:val="none"/>
          <w:lang w:eastAsia="zh-CN"/>
        </w:rPr>
        <w:t>设</w:t>
      </w:r>
      <w:r>
        <w:rPr>
          <w:rFonts w:hint="eastAsia" w:ascii="仿宋_GB2312" w:hAnsi="仿宋_GB2312" w:eastAsia="仿宋_GB2312" w:cs="仿宋_GB2312"/>
          <w:color w:val="auto"/>
          <w:sz w:val="24"/>
          <w:szCs w:val="24"/>
          <w:highlight w:val="none"/>
          <w:u w:val="none"/>
        </w:rPr>
        <w:t>有限公司</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none"/>
        </w:rPr>
        <w:t>项目</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none"/>
          <w:lang w:val="en-US" w:eastAsia="zh-CN"/>
        </w:rPr>
        <w:t>专业分包工程</w:t>
      </w:r>
      <w:r>
        <w:rPr>
          <w:rFonts w:hint="eastAsia" w:ascii="仿宋_GB2312" w:hAnsi="仿宋_GB2312" w:eastAsia="仿宋_GB2312" w:cs="仿宋_GB2312"/>
          <w:color w:val="auto"/>
          <w:sz w:val="24"/>
          <w:szCs w:val="24"/>
          <w:highlight w:val="none"/>
          <w:u w:val="none"/>
        </w:rPr>
        <w:t>的</w:t>
      </w:r>
      <w:r>
        <w:rPr>
          <w:rFonts w:hint="eastAsia" w:ascii="仿宋_GB2312" w:hAnsi="仿宋_GB2312" w:eastAsia="仿宋_GB2312" w:cs="仿宋_GB2312"/>
          <w:color w:val="auto"/>
          <w:sz w:val="24"/>
          <w:szCs w:val="24"/>
          <w:highlight w:val="none"/>
          <w:u w:val="single"/>
          <w:lang w:val="en-US" w:eastAsia="zh-CN"/>
        </w:rPr>
        <w:t>专职安全员</w:t>
      </w:r>
      <w:r>
        <w:rPr>
          <w:rFonts w:hint="eastAsia" w:ascii="仿宋_GB2312" w:hAnsi="仿宋_GB2312" w:eastAsia="仿宋_GB2312" w:cs="仿宋_GB2312"/>
          <w:color w:val="auto"/>
          <w:sz w:val="24"/>
          <w:szCs w:val="24"/>
          <w:highlight w:val="none"/>
          <w:u w:val="none"/>
        </w:rPr>
        <w:t>与</w:t>
      </w:r>
      <w:r>
        <w:rPr>
          <w:rFonts w:hint="eastAsia" w:ascii="仿宋_GB2312" w:hAnsi="仿宋_GB2312" w:eastAsia="仿宋_GB2312" w:cs="仿宋_GB2312"/>
          <w:color w:val="auto"/>
          <w:sz w:val="24"/>
          <w:szCs w:val="24"/>
          <w:highlight w:val="none"/>
          <w:u w:val="none"/>
          <w:lang w:eastAsia="zh-CN"/>
        </w:rPr>
        <w:t>甲方</w:t>
      </w:r>
      <w:r>
        <w:rPr>
          <w:rFonts w:hint="eastAsia" w:ascii="仿宋_GB2312" w:hAnsi="仿宋_GB2312" w:eastAsia="仿宋_GB2312" w:cs="仿宋_GB2312"/>
          <w:color w:val="auto"/>
          <w:sz w:val="24"/>
          <w:szCs w:val="24"/>
          <w:highlight w:val="none"/>
          <w:u w:val="none"/>
        </w:rPr>
        <w:t>进行授权范围</w:t>
      </w:r>
      <w:r>
        <w:rPr>
          <w:rFonts w:hint="eastAsia" w:ascii="仿宋_GB2312" w:hAnsi="仿宋_GB2312" w:eastAsia="仿宋_GB2312" w:cs="仿宋_GB2312"/>
          <w:color w:val="auto"/>
          <w:sz w:val="24"/>
          <w:szCs w:val="24"/>
          <w:highlight w:val="none"/>
          <w:u w:val="single"/>
        </w:rPr>
        <w:t>包</w:t>
      </w:r>
      <w:r>
        <w:rPr>
          <w:rFonts w:hint="eastAsia" w:ascii="仿宋_GB2312" w:hAnsi="仿宋_GB2312" w:eastAsia="仿宋_GB2312" w:cs="仿宋_GB2312"/>
          <w:color w:val="auto"/>
          <w:sz w:val="24"/>
          <w:szCs w:val="24"/>
          <w:highlight w:val="none"/>
          <w:u w:val="single"/>
          <w:lang w:val="en-US" w:eastAsia="zh-CN"/>
        </w:rPr>
        <w:t>括项目安全管理全部工作内容</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u w:val="none"/>
        </w:rPr>
        <w:t>受委托人所有与本项目相关的行为均对我们公司产生法律效力。</w:t>
      </w:r>
      <w:r>
        <w:rPr>
          <w:rFonts w:hint="eastAsia" w:ascii="仿宋_GB2312" w:hAnsi="仿宋_GB2312" w:eastAsia="仿宋_GB2312" w:cs="仿宋_GB2312"/>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560" w:firstLineChars="190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委托单位：</w:t>
      </w:r>
    </w:p>
    <w:p>
      <w:pPr>
        <w:pageBreakBefore w:val="0"/>
        <w:kinsoku/>
        <w:wordWrap/>
        <w:overflowPunct/>
        <w:topLinePunct w:val="0"/>
        <w:bidi w:val="0"/>
        <w:snapToGrid w:val="0"/>
        <w:spacing w:line="360" w:lineRule="auto"/>
        <w:ind w:firstLine="22"/>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法定代表人：</w:t>
      </w:r>
    </w:p>
    <w:p>
      <w:pPr>
        <w:pageBreakBefore w:val="0"/>
        <w:kinsoku/>
        <w:wordWrap/>
        <w:overflowPunct/>
        <w:topLinePunct w:val="0"/>
        <w:bidi w:val="0"/>
        <w:snapToGrid w:val="0"/>
        <w:spacing w:line="360" w:lineRule="auto"/>
        <w:ind w:firstLine="22"/>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年    月   日</w:t>
      </w:r>
    </w:p>
    <w:p>
      <w:pPr>
        <w:pageBreakBefore w:val="0"/>
        <w:kinsoku/>
        <w:wordWrap/>
        <w:overflowPunct/>
        <w:topLinePunct w:val="0"/>
        <w:bidi w:val="0"/>
        <w:spacing w:line="360" w:lineRule="auto"/>
        <w:rPr>
          <w:rFonts w:hint="eastAsia" w:ascii="仿宋_GB2312" w:hAnsi="仿宋_GB2312" w:eastAsia="仿宋_GB2312" w:cs="仿宋_GB2312"/>
          <w:color w:val="auto"/>
          <w:sz w:val="24"/>
          <w:szCs w:val="24"/>
          <w:highlight w:val="none"/>
          <w:lang w:eastAsia="zh-CN"/>
        </w:rPr>
      </w:pPr>
    </w:p>
    <w:p>
      <w:pPr>
        <w:pageBreakBefore w:val="0"/>
        <w:kinsoku/>
        <w:wordWrap/>
        <w:overflowPunct/>
        <w:topLinePunct w:val="0"/>
        <w:bidi w:val="0"/>
        <w:spacing w:line="360" w:lineRule="auto"/>
        <w:ind w:firstLine="480" w:firstLineChars="200"/>
        <w:jc w:val="left"/>
        <w:outlineLvl w:val="9"/>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rPr>
        <w:t>附：</w:t>
      </w:r>
      <w:r>
        <w:rPr>
          <w:rFonts w:hint="eastAsia" w:ascii="仿宋_GB2312" w:hAnsi="仿宋_GB2312" w:eastAsia="仿宋_GB2312" w:cs="仿宋_GB2312"/>
          <w:b w:val="0"/>
          <w:bCs/>
          <w:color w:val="auto"/>
          <w:sz w:val="24"/>
          <w:szCs w:val="24"/>
          <w:highlight w:val="none"/>
          <w:lang w:val="en-US" w:eastAsia="zh-CN"/>
        </w:rPr>
        <w:t>授权委托</w:t>
      </w:r>
      <w:r>
        <w:rPr>
          <w:rFonts w:hint="eastAsia" w:ascii="仿宋_GB2312" w:hAnsi="仿宋_GB2312" w:eastAsia="仿宋_GB2312" w:cs="仿宋_GB2312"/>
          <w:b w:val="0"/>
          <w:bCs/>
          <w:color w:val="auto"/>
          <w:sz w:val="24"/>
          <w:szCs w:val="24"/>
          <w:highlight w:val="none"/>
        </w:rPr>
        <w:t>人二代身份证复印件</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lang w:val="en-US" w:eastAsia="zh-CN"/>
        </w:rPr>
        <w:t>正反面</w:t>
      </w:r>
      <w:r>
        <w:rPr>
          <w:rFonts w:hint="eastAsia" w:ascii="仿宋_GB2312" w:hAnsi="仿宋_GB2312" w:eastAsia="仿宋_GB2312" w:cs="仿宋_GB2312"/>
          <w:b w:val="0"/>
          <w:bCs/>
          <w:color w:val="auto"/>
          <w:sz w:val="24"/>
          <w:szCs w:val="24"/>
          <w:highlight w:val="none"/>
          <w:lang w:eastAsia="zh-CN"/>
        </w:rPr>
        <w:t>）</w:t>
      </w:r>
    </w:p>
    <w:p>
      <w:pPr>
        <w:pageBreakBefore w:val="0"/>
        <w:kinsoku/>
        <w:wordWrap/>
        <w:overflowPunct/>
        <w:topLinePunct w:val="0"/>
        <w:bidi w:val="0"/>
        <w:spacing w:line="360" w:lineRule="auto"/>
        <w:jc w:val="left"/>
        <w:rPr>
          <w:rFonts w:hint="eastAsia" w:ascii="仿宋_GB2312" w:hAnsi="仿宋_GB2312" w:eastAsia="仿宋_GB2312" w:cs="仿宋_GB2312"/>
          <w:color w:val="auto"/>
          <w:highlight w:val="none"/>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8"/>
              <w:pageBreakBefore w:val="0"/>
              <w:kinsoku/>
              <w:wordWrap/>
              <w:overflowPunct/>
              <w:topLinePunct w:val="0"/>
              <w:bidi w:val="0"/>
              <w:spacing w:line="360" w:lineRule="auto"/>
              <w:rPr>
                <w:rFonts w:hint="eastAsia" w:ascii="仿宋_GB2312" w:hAnsi="仿宋_GB2312" w:eastAsia="仿宋_GB2312" w:cs="仿宋_GB2312"/>
                <w:color w:val="auto"/>
                <w:highlight w:val="none"/>
                <w:lang w:eastAsia="zh-CN"/>
              </w:rPr>
            </w:pPr>
          </w:p>
          <w:p>
            <w:pPr>
              <w:pageBreakBefore w:val="0"/>
              <w:kinsoku/>
              <w:wordWrap/>
              <w:overflowPunct/>
              <w:topLinePunct w:val="0"/>
              <w:bidi w:val="0"/>
              <w:spacing w:line="360" w:lineRule="auto"/>
              <w:rPr>
                <w:rFonts w:hint="eastAsia" w:ascii="仿宋_GB2312" w:hAnsi="仿宋_GB2312" w:eastAsia="仿宋_GB2312" w:cs="仿宋_GB2312"/>
                <w:color w:val="auto"/>
                <w:highlight w:val="none"/>
                <w:lang w:eastAsia="zh-CN"/>
              </w:rPr>
            </w:pPr>
          </w:p>
          <w:p>
            <w:pPr>
              <w:pStyle w:val="8"/>
              <w:pageBreakBefore w:val="0"/>
              <w:kinsoku/>
              <w:wordWrap/>
              <w:overflowPunct/>
              <w:topLinePunct w:val="0"/>
              <w:bidi w:val="0"/>
              <w:spacing w:line="360" w:lineRule="auto"/>
              <w:rPr>
                <w:rFonts w:hint="eastAsia" w:ascii="仿宋_GB2312" w:hAnsi="仿宋_GB2312" w:eastAsia="仿宋_GB2312" w:cs="仿宋_GB2312"/>
                <w:b w:val="0"/>
                <w:bCs w:val="0"/>
                <w:color w:val="auto"/>
                <w:highlight w:val="none"/>
                <w:lang w:eastAsia="zh-CN"/>
              </w:rPr>
            </w:pPr>
          </w:p>
          <w:p>
            <w:pPr>
              <w:pageBreakBefore w:val="0"/>
              <w:kinsoku/>
              <w:wordWrap/>
              <w:overflowPunct/>
              <w:topLinePunct w:val="0"/>
              <w:bidi w:val="0"/>
              <w:spacing w:line="360" w:lineRule="auto"/>
              <w:jc w:val="center"/>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highlight w:val="none"/>
                <w:lang w:eastAsia="zh-CN"/>
              </w:rPr>
              <w:t>（</w:t>
            </w:r>
            <w:r>
              <w:rPr>
                <w:rFonts w:hint="eastAsia" w:ascii="仿宋_GB2312" w:hAnsi="仿宋_GB2312" w:eastAsia="仿宋_GB2312" w:cs="仿宋_GB2312"/>
                <w:b w:val="0"/>
                <w:bCs w:val="0"/>
                <w:color w:val="auto"/>
                <w:sz w:val="24"/>
                <w:szCs w:val="24"/>
                <w:highlight w:val="none"/>
              </w:rPr>
              <w:t>二代身份证复印件</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正反面</w:t>
            </w:r>
            <w:r>
              <w:rPr>
                <w:rFonts w:hint="eastAsia" w:ascii="仿宋_GB2312" w:hAnsi="仿宋_GB2312" w:eastAsia="仿宋_GB2312" w:cs="仿宋_GB2312"/>
                <w:b w:val="0"/>
                <w:bCs w:val="0"/>
                <w:color w:val="auto"/>
                <w:highlight w:val="none"/>
                <w:lang w:eastAsia="zh-CN"/>
              </w:rPr>
              <w:t>）</w:t>
            </w:r>
          </w:p>
          <w:p>
            <w:pPr>
              <w:pageBreakBefore w:val="0"/>
              <w:kinsoku/>
              <w:wordWrap/>
              <w:overflowPunct/>
              <w:topLinePunct w:val="0"/>
              <w:bidi w:val="0"/>
              <w:spacing w:line="360" w:lineRule="auto"/>
              <w:rPr>
                <w:rFonts w:hint="eastAsia" w:ascii="仿宋_GB2312" w:hAnsi="仿宋_GB2312" w:eastAsia="仿宋_GB2312" w:cs="仿宋_GB2312"/>
                <w:color w:val="auto"/>
                <w:highlight w:val="none"/>
                <w:lang w:eastAsia="zh-CN"/>
              </w:rPr>
            </w:pPr>
          </w:p>
          <w:p>
            <w:pPr>
              <w:pStyle w:val="8"/>
              <w:pageBreakBefore w:val="0"/>
              <w:kinsoku/>
              <w:wordWrap/>
              <w:overflowPunct/>
              <w:topLinePunct w:val="0"/>
              <w:bidi w:val="0"/>
              <w:spacing w:line="360" w:lineRule="auto"/>
              <w:rPr>
                <w:rFonts w:hint="eastAsia" w:ascii="仿宋_GB2312" w:hAnsi="仿宋_GB2312" w:eastAsia="仿宋_GB2312" w:cs="仿宋_GB2312"/>
                <w:color w:val="auto"/>
                <w:highlight w:val="none"/>
                <w:lang w:eastAsia="zh-CN"/>
              </w:rPr>
            </w:pPr>
          </w:p>
          <w:p>
            <w:pPr>
              <w:pageBreakBefore w:val="0"/>
              <w:kinsoku/>
              <w:wordWrap/>
              <w:overflowPunct/>
              <w:topLinePunct w:val="0"/>
              <w:bidi w:val="0"/>
              <w:spacing w:line="360" w:lineRule="auto"/>
              <w:rPr>
                <w:rFonts w:hint="eastAsia" w:ascii="仿宋_GB2312" w:hAnsi="仿宋_GB2312" w:eastAsia="仿宋_GB2312" w:cs="仿宋_GB2312"/>
                <w:color w:val="auto"/>
                <w:highlight w:val="none"/>
                <w:lang w:eastAsia="zh-CN"/>
              </w:rPr>
            </w:pPr>
          </w:p>
          <w:p>
            <w:pPr>
              <w:pageBreakBefore w:val="0"/>
              <w:kinsoku/>
              <w:wordWrap/>
              <w:overflowPunct/>
              <w:topLinePunct w:val="0"/>
              <w:bidi w:val="0"/>
              <w:spacing w:line="360" w:lineRule="auto"/>
              <w:jc w:val="center"/>
              <w:rPr>
                <w:rFonts w:hint="eastAsia" w:ascii="仿宋_GB2312" w:hAnsi="仿宋_GB2312" w:eastAsia="仿宋_GB2312" w:cs="仿宋_GB2312"/>
                <w:color w:val="auto"/>
                <w:highlight w:val="none"/>
                <w:lang w:eastAsia="zh-CN"/>
              </w:rPr>
            </w:pPr>
          </w:p>
          <w:p>
            <w:pPr>
              <w:pStyle w:val="8"/>
              <w:pageBreakBefore w:val="0"/>
              <w:kinsoku/>
              <w:wordWrap/>
              <w:overflowPunct/>
              <w:topLinePunct w:val="0"/>
              <w:bidi w:val="0"/>
              <w:spacing w:line="360" w:lineRule="auto"/>
              <w:rPr>
                <w:rFonts w:hint="eastAsia" w:ascii="仿宋_GB2312" w:hAnsi="仿宋_GB2312" w:eastAsia="仿宋_GB2312" w:cs="仿宋_GB2312"/>
                <w:color w:val="auto"/>
                <w:highlight w:val="none"/>
                <w:lang w:eastAsia="zh-CN"/>
              </w:rPr>
            </w:pPr>
          </w:p>
        </w:tc>
      </w:tr>
    </w:tbl>
    <w:p>
      <w:pPr>
        <w:rPr>
          <w:rFonts w:hint="eastAsia" w:ascii="仿宋_GB2312" w:hAnsi="仿宋_GB2312" w:eastAsia="仿宋_GB2312" w:cs="仿宋_GB2312"/>
          <w:color w:val="auto"/>
          <w:highlight w:val="none"/>
        </w:rPr>
      </w:pPr>
    </w:p>
    <w:p>
      <w:pPr>
        <w:pStyle w:val="28"/>
        <w:bidi w:val="0"/>
        <w:outlineLvl w:val="1"/>
        <w:rPr>
          <w:rFonts w:hint="eastAsia"/>
          <w:color w:val="auto"/>
          <w:highlight w:val="none"/>
          <w:lang w:val="en-US" w:eastAsia="zh-CN"/>
        </w:rPr>
        <w:sectPr>
          <w:footerReference r:id="rId22" w:type="default"/>
          <w:pgSz w:w="11910" w:h="16840"/>
          <w:pgMar w:top="1431" w:right="1369" w:bottom="1684" w:left="1579" w:header="0" w:footer="1367" w:gutter="0"/>
          <w:pgBorders>
            <w:top w:val="none" w:sz="0" w:space="0"/>
            <w:left w:val="none" w:sz="0" w:space="0"/>
            <w:bottom w:val="none" w:sz="0" w:space="0"/>
            <w:right w:val="none" w:sz="0" w:space="0"/>
          </w:pgBorders>
          <w:pgNumType w:fmt="decimal"/>
          <w:cols w:space="720" w:num="1"/>
        </w:sectPr>
      </w:pPr>
    </w:p>
    <w:p>
      <w:pPr>
        <w:pStyle w:val="28"/>
        <w:bidi w:val="0"/>
        <w:outlineLvl w:val="1"/>
        <w:rPr>
          <w:rFonts w:hint="eastAsia" w:eastAsia="仿宋_GB2312"/>
          <w:color w:val="auto"/>
          <w:highlight w:val="none"/>
          <w:lang w:eastAsia="zh-CN"/>
        </w:rPr>
      </w:pPr>
      <w:r>
        <w:rPr>
          <w:rFonts w:hint="eastAsia"/>
          <w:color w:val="auto"/>
          <w:highlight w:val="none"/>
          <w:lang w:val="en-US" w:eastAsia="zh-CN"/>
        </w:rPr>
        <w:t xml:space="preserve">附件十六 </w:t>
      </w:r>
      <w:r>
        <w:rPr>
          <w:rFonts w:hint="eastAsia"/>
          <w:color w:val="auto"/>
          <w:highlight w:val="none"/>
        </w:rPr>
        <w:t>农民工工资委托代发协议</w:t>
      </w:r>
    </w:p>
    <w:p>
      <w:pPr>
        <w:pStyle w:val="28"/>
        <w:bidi w:val="0"/>
        <w:outlineLvl w:val="1"/>
        <w:rPr>
          <w:rFonts w:hint="eastAsia" w:eastAsia="仿宋_GB2312"/>
          <w:color w:val="auto"/>
          <w:highlight w:val="none"/>
          <w:lang w:eastAsia="zh-CN"/>
        </w:rPr>
      </w:pPr>
    </w:p>
    <w:p>
      <w:pPr>
        <w:pStyle w:val="28"/>
        <w:bidi w:val="0"/>
        <w:jc w:val="center"/>
        <w:outlineLvl w:val="9"/>
        <w:rPr>
          <w:rFonts w:hint="eastAsia" w:eastAsia="仿宋_GB2312"/>
          <w:b/>
          <w:bCs/>
          <w:color w:val="auto"/>
          <w:highlight w:val="none"/>
          <w:lang w:eastAsia="zh-CN"/>
        </w:rPr>
      </w:pPr>
      <w:r>
        <w:rPr>
          <w:rFonts w:hint="eastAsia"/>
          <w:b/>
          <w:bCs/>
          <w:color w:val="auto"/>
          <w:highlight w:val="none"/>
        </w:rPr>
        <w:t>农民工工资委托代发协议</w:t>
      </w:r>
    </w:p>
    <w:p>
      <w:pPr>
        <w:pStyle w:val="28"/>
        <w:bidi w:val="0"/>
        <w:jc w:val="center"/>
        <w:outlineLvl w:val="9"/>
        <w:rPr>
          <w:rFonts w:hint="eastAsia" w:eastAsia="仿宋_GB2312"/>
          <w:b/>
          <w:bCs/>
          <w:color w:val="auto"/>
          <w:highlight w:val="none"/>
          <w:lang w:eastAsia="zh-CN"/>
        </w:rPr>
      </w:pPr>
    </w:p>
    <w:p>
      <w:pPr>
        <w:widowControl/>
        <w:spacing w:line="540" w:lineRule="exact"/>
        <w:jc w:val="left"/>
        <w:rPr>
          <w:rFonts w:hint="eastAsia" w:ascii="仿宋" w:hAnsi="仿宋" w:eastAsia="仿宋" w:cs="仿宋"/>
          <w:color w:val="auto"/>
          <w:kern w:val="0"/>
          <w:sz w:val="24"/>
          <w:szCs w:val="24"/>
          <w:highlight w:val="none"/>
          <w:u w:val="single"/>
          <w:lang w:eastAsia="zh-CN" w:bidi="ar"/>
        </w:rPr>
      </w:pPr>
      <w:r>
        <w:rPr>
          <w:rFonts w:hint="eastAsia" w:ascii="仿宋" w:hAnsi="仿宋" w:eastAsia="仿宋" w:cs="仿宋"/>
          <w:color w:val="auto"/>
          <w:kern w:val="0"/>
          <w:sz w:val="24"/>
          <w:szCs w:val="24"/>
          <w:highlight w:val="none"/>
          <w:lang w:bidi="ar"/>
        </w:rPr>
        <w:t>甲方：(施工总承包)</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30"/>
          <w:szCs w:val="30"/>
          <w:highlight w:val="none"/>
          <w:u w:val="single"/>
          <w:lang w:bidi="ar"/>
        </w:rPr>
        <w:t>云南建投第十建设有限公司绥江分公司</w:t>
      </w:r>
      <w:r>
        <w:rPr>
          <w:rFonts w:hint="eastAsia" w:ascii="仿宋" w:hAnsi="仿宋" w:eastAsia="仿宋" w:cs="仿宋"/>
          <w:color w:val="auto"/>
          <w:kern w:val="0"/>
          <w:sz w:val="24"/>
          <w:szCs w:val="24"/>
          <w:highlight w:val="none"/>
          <w:u w:val="single"/>
          <w:lang w:bidi="ar"/>
        </w:rPr>
        <w:t xml:space="preserve">   </w:t>
      </w:r>
    </w:p>
    <w:p>
      <w:pPr>
        <w:widowControl/>
        <w:spacing w:line="540" w:lineRule="exact"/>
        <w:jc w:val="left"/>
        <w:rPr>
          <w:rFonts w:ascii="仿宋" w:hAnsi="仿宋" w:eastAsia="仿宋" w:cs="仿宋"/>
          <w:color w:val="auto"/>
          <w:kern w:val="0"/>
          <w:sz w:val="24"/>
          <w:szCs w:val="24"/>
          <w:highlight w:val="none"/>
          <w:u w:val="single"/>
          <w:lang w:bidi="ar"/>
        </w:rPr>
      </w:pPr>
      <w:r>
        <w:rPr>
          <w:rFonts w:hint="eastAsia" w:ascii="仿宋" w:hAnsi="仿宋" w:eastAsia="仿宋" w:cs="仿宋"/>
          <w:color w:val="auto"/>
          <w:kern w:val="0"/>
          <w:sz w:val="24"/>
          <w:szCs w:val="24"/>
          <w:highlight w:val="none"/>
          <w:lang w:bidi="ar"/>
        </w:rPr>
        <w:t>乙方：(</w:t>
      </w:r>
      <w:r>
        <w:rPr>
          <w:rFonts w:hint="eastAsia" w:ascii="仿宋" w:hAnsi="仿宋" w:eastAsia="仿宋" w:cs="仿宋"/>
          <w:color w:val="auto"/>
          <w:kern w:val="0"/>
          <w:sz w:val="24"/>
          <w:szCs w:val="24"/>
          <w:highlight w:val="none"/>
          <w:lang w:val="en-US" w:eastAsia="zh-CN" w:bidi="ar"/>
        </w:rPr>
        <w:t>用人单位</w:t>
      </w:r>
      <w:r>
        <w:rPr>
          <w:rFonts w:hint="eastAsia" w:ascii="仿宋" w:hAnsi="仿宋" w:eastAsia="仿宋" w:cs="仿宋"/>
          <w:color w:val="auto"/>
          <w:kern w:val="0"/>
          <w:sz w:val="24"/>
          <w:szCs w:val="24"/>
          <w:highlight w:val="none"/>
          <w:lang w:bidi="ar"/>
        </w:rPr>
        <w:t>)</w:t>
      </w:r>
      <w:r>
        <w:rPr>
          <w:rFonts w:hint="eastAsia" w:ascii="仿宋" w:hAnsi="仿宋" w:eastAsia="仿宋" w:cs="仿宋"/>
          <w:color w:val="auto"/>
          <w:kern w:val="0"/>
          <w:sz w:val="24"/>
          <w:szCs w:val="24"/>
          <w:highlight w:val="none"/>
          <w:u w:val="single"/>
          <w:lang w:bidi="ar"/>
        </w:rPr>
        <w:t xml:space="preserve">                                 </w:t>
      </w:r>
    </w:p>
    <w:p>
      <w:pPr>
        <w:widowControl/>
        <w:spacing w:line="540" w:lineRule="exact"/>
        <w:jc w:val="left"/>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工程名称（全称）：</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32"/>
          <w:szCs w:val="32"/>
          <w:highlight w:val="none"/>
          <w:u w:val="single"/>
          <w:lang w:bidi="ar"/>
        </w:rPr>
        <w:t>绥江县保障性租赁住房建设项目</w:t>
      </w:r>
      <w:r>
        <w:rPr>
          <w:rFonts w:hint="eastAsia" w:ascii="仿宋" w:hAnsi="仿宋" w:eastAsia="仿宋" w:cs="仿宋"/>
          <w:color w:val="auto"/>
          <w:kern w:val="0"/>
          <w:sz w:val="32"/>
          <w:szCs w:val="32"/>
          <w:highlight w:val="none"/>
          <w:u w:val="single"/>
          <w:lang w:val="en-US" w:eastAsia="zh-CN" w:bidi="ar"/>
        </w:rPr>
        <w:t>防水工程</w:t>
      </w:r>
      <w:r>
        <w:rPr>
          <w:rFonts w:hint="eastAsia" w:ascii="仿宋" w:hAnsi="仿宋" w:eastAsia="仿宋" w:cs="仿宋"/>
          <w:color w:val="auto"/>
          <w:kern w:val="0"/>
          <w:sz w:val="32"/>
          <w:szCs w:val="32"/>
          <w:highlight w:val="none"/>
          <w:u w:val="single"/>
          <w:lang w:bidi="ar"/>
        </w:rPr>
        <w:t xml:space="preserve">  </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 xml:space="preserve">  </w:t>
      </w:r>
    </w:p>
    <w:p>
      <w:pPr>
        <w:widowControl/>
        <w:spacing w:line="540" w:lineRule="exact"/>
        <w:jc w:val="left"/>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合同名称及编号：</w:t>
      </w:r>
      <w:r>
        <w:rPr>
          <w:rFonts w:hint="eastAsia" w:ascii="仿宋" w:hAnsi="仿宋" w:eastAsia="仿宋" w:cs="仿宋"/>
          <w:color w:val="auto"/>
          <w:kern w:val="0"/>
          <w:sz w:val="24"/>
          <w:szCs w:val="24"/>
          <w:highlight w:val="none"/>
          <w:u w:val="single"/>
          <w:lang w:bidi="ar"/>
        </w:rPr>
        <w:t xml:space="preserve">                                       </w:t>
      </w:r>
    </w:p>
    <w:p>
      <w:pPr>
        <w:widowControl/>
        <w:spacing w:line="540" w:lineRule="exact"/>
        <w:jc w:val="left"/>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分包工程承包内容：</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 xml:space="preserve"> </w:t>
      </w:r>
    </w:p>
    <w:p>
      <w:pPr>
        <w:widowControl/>
        <w:spacing w:line="540" w:lineRule="exact"/>
        <w:ind w:firstLine="480" w:firstLineChars="200"/>
        <w:jc w:val="left"/>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为保障合同工程建设项目农民工工资按期支付，根据《保障农民工工资支付条例》《中华人民共和国劳动合同法》《建筑工人实名制管理办法（试行）》《云南建投集团贯彻落实农民工实名制及工资支付管理实施细则》等文件要求，经双方友好协商，现就农民工工资委托代发事宜达成以下协议：</w:t>
      </w:r>
    </w:p>
    <w:p>
      <w:pPr>
        <w:widowControl/>
        <w:numPr>
          <w:ilvl w:val="0"/>
          <w:numId w:val="13"/>
        </w:numPr>
        <w:spacing w:line="540" w:lineRule="exact"/>
        <w:ind w:firstLine="640"/>
        <w:jc w:val="left"/>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甲方承诺按照分包合同约定按时支付农民工工资。不得以工程款被拖欠或施工质量缺陷等理由拒付农民工工资。</w:t>
      </w:r>
    </w:p>
    <w:p>
      <w:pPr>
        <w:widowControl/>
        <w:numPr>
          <w:ilvl w:val="0"/>
          <w:numId w:val="13"/>
        </w:numPr>
        <w:spacing w:line="540" w:lineRule="exact"/>
        <w:ind w:firstLine="640"/>
        <w:jc w:val="left"/>
        <w:rPr>
          <w:rFonts w:hint="eastAsia" w:eastAsiaTheme="minorEastAsia"/>
          <w:color w:val="auto"/>
          <w:sz w:val="24"/>
          <w:szCs w:val="24"/>
          <w:highlight w:val="none"/>
          <w:lang w:val="en-US" w:eastAsia="zh-CN"/>
        </w:rPr>
      </w:pPr>
      <w:r>
        <w:rPr>
          <w:rFonts w:hint="eastAsia" w:ascii="仿宋" w:hAnsi="仿宋" w:eastAsia="仿宋" w:cs="仿宋"/>
          <w:color w:val="auto"/>
          <w:kern w:val="0"/>
          <w:sz w:val="24"/>
          <w:szCs w:val="24"/>
          <w:highlight w:val="none"/>
          <w:lang w:bidi="ar"/>
        </w:rPr>
        <w:t>乙方委托甲方代发农民工工资，承诺每月按时将施工班组、农民工本人签字确认的农民工工资表报项目部审核，农民工实名登记表、劳动合同、工资数额、农民工个人银行卡号等信息真实性由乙方负责。</w:t>
      </w:r>
    </w:p>
    <w:p>
      <w:pPr>
        <w:widowControl/>
        <w:numPr>
          <w:ilvl w:val="0"/>
          <w:numId w:val="13"/>
        </w:numPr>
        <w:spacing w:line="540" w:lineRule="exact"/>
        <w:ind w:firstLine="640"/>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乙方承</w:t>
      </w:r>
      <w:r>
        <w:rPr>
          <w:rFonts w:hint="default" w:ascii="仿宋" w:hAnsi="仿宋" w:eastAsia="仿宋" w:cs="仿宋"/>
          <w:color w:val="auto"/>
          <w:kern w:val="0"/>
          <w:sz w:val="24"/>
          <w:szCs w:val="24"/>
          <w:highlight w:val="none"/>
          <w:lang w:val="en-US" w:eastAsia="zh-CN" w:bidi="ar"/>
        </w:rPr>
        <w:t>诺严格按</w:t>
      </w:r>
      <w:r>
        <w:rPr>
          <w:rFonts w:hint="eastAsia" w:ascii="仿宋" w:hAnsi="仿宋" w:eastAsia="仿宋" w:cs="仿宋"/>
          <w:color w:val="auto"/>
          <w:kern w:val="0"/>
          <w:sz w:val="24"/>
          <w:szCs w:val="24"/>
          <w:highlight w:val="none"/>
          <w:lang w:val="en-US" w:eastAsia="zh-CN" w:bidi="ar"/>
        </w:rPr>
        <w:t>甲方合同分账管理</w:t>
      </w:r>
      <w:r>
        <w:rPr>
          <w:rFonts w:hint="default" w:ascii="仿宋" w:hAnsi="仿宋" w:eastAsia="仿宋" w:cs="仿宋"/>
          <w:color w:val="auto"/>
          <w:kern w:val="0"/>
          <w:sz w:val="24"/>
          <w:szCs w:val="24"/>
          <w:highlight w:val="none"/>
          <w:lang w:val="en-US" w:eastAsia="zh-CN" w:bidi="ar"/>
        </w:rPr>
        <w:t>及相关</w:t>
      </w:r>
      <w:r>
        <w:rPr>
          <w:rFonts w:hint="eastAsia" w:ascii="仿宋" w:hAnsi="仿宋" w:eastAsia="仿宋" w:cs="仿宋"/>
          <w:color w:val="auto"/>
          <w:kern w:val="0"/>
          <w:sz w:val="24"/>
          <w:szCs w:val="24"/>
          <w:highlight w:val="none"/>
          <w:lang w:val="en-US" w:eastAsia="zh-CN" w:bidi="ar"/>
        </w:rPr>
        <w:t>要求，人工费款项按分账占比全额拨付至专户，项目实施过程中不支付到乙方账户，若人工费款项不够支付农民工工资时，乙方承诺甲方优先从非人工费款项中代扣代付。</w:t>
      </w:r>
    </w:p>
    <w:p>
      <w:pPr>
        <w:widowControl/>
        <w:numPr>
          <w:ilvl w:val="0"/>
          <w:numId w:val="13"/>
        </w:numPr>
        <w:spacing w:line="540" w:lineRule="exact"/>
        <w:ind w:firstLine="640"/>
        <w:jc w:val="left"/>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农民工考勤及工资发放</w:t>
      </w:r>
    </w:p>
    <w:p>
      <w:pPr>
        <w:widowControl/>
        <w:numPr>
          <w:ilvl w:val="0"/>
          <w:numId w:val="14"/>
        </w:numPr>
        <w:spacing w:line="540" w:lineRule="exact"/>
        <w:ind w:firstLine="480" w:firstLineChars="200"/>
        <w:jc w:val="left"/>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农民工进入施工现场，乙方应将进驻人员信息(包括劳务公司与工人签订的劳动合同、工人身份证复印件等)上报项目部，项目负责及时核对，未提供资料至项目部</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val="en-US" w:eastAsia="zh-CN" w:bidi="ar"/>
        </w:rPr>
        <w:t>不录入实名制系统的一律不得进入施工现场</w:t>
      </w:r>
      <w:r>
        <w:rPr>
          <w:rFonts w:hint="eastAsia" w:ascii="仿宋" w:hAnsi="仿宋" w:eastAsia="仿宋" w:cs="仿宋"/>
          <w:color w:val="auto"/>
          <w:kern w:val="0"/>
          <w:sz w:val="24"/>
          <w:szCs w:val="24"/>
          <w:highlight w:val="none"/>
          <w:lang w:bidi="ar"/>
        </w:rPr>
        <w:t>。</w:t>
      </w:r>
    </w:p>
    <w:p>
      <w:pPr>
        <w:widowControl/>
        <w:numPr>
          <w:ilvl w:val="0"/>
          <w:numId w:val="14"/>
        </w:numPr>
        <w:spacing w:line="540" w:lineRule="exact"/>
        <w:ind w:firstLine="480" w:firstLineChars="200"/>
        <w:jc w:val="left"/>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乙方要对进入项目施工现场的农民工进行登记造册，根据农民工管理要求进行农民工基本从业信息登记，注明工种、合同签订情况、安全培训情况等。</w:t>
      </w:r>
    </w:p>
    <w:p>
      <w:pPr>
        <w:widowControl/>
        <w:numPr>
          <w:ilvl w:val="0"/>
          <w:numId w:val="14"/>
        </w:numPr>
        <w:spacing w:line="540" w:lineRule="exact"/>
        <w:ind w:firstLine="480" w:firstLineChars="200"/>
        <w:jc w:val="left"/>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项目部每天将对农民工出勤情况进行统计，并会同乙方劳务授权委托人签字认可，乙方授权</w:t>
      </w:r>
      <w:r>
        <w:rPr>
          <w:rFonts w:hint="eastAsia" w:ascii="仿宋" w:hAnsi="仿宋" w:eastAsia="仿宋" w:cs="仿宋"/>
          <w:color w:val="auto"/>
          <w:kern w:val="0"/>
          <w:sz w:val="24"/>
          <w:szCs w:val="24"/>
          <w:highlight w:val="none"/>
          <w:u w:val="single"/>
          <w:lang w:bidi="ar"/>
        </w:rPr>
        <w:t xml:space="preserve">   （以招投标文件所授权的委托现场管理人员一致）  </w:t>
      </w:r>
      <w:r>
        <w:rPr>
          <w:rFonts w:hint="eastAsia" w:ascii="仿宋" w:hAnsi="仿宋" w:eastAsia="仿宋" w:cs="仿宋"/>
          <w:color w:val="auto"/>
          <w:kern w:val="0"/>
          <w:sz w:val="24"/>
          <w:szCs w:val="24"/>
          <w:highlight w:val="none"/>
          <w:lang w:bidi="ar"/>
        </w:rPr>
        <w:t>为施工现场负责人代表其签字并管理施工现场分包单位农民工人员，考勤表及工资表未会签的，视为当日农民工无出勤、无工资。</w:t>
      </w:r>
    </w:p>
    <w:p>
      <w:pPr>
        <w:widowControl/>
        <w:numPr>
          <w:ilvl w:val="0"/>
          <w:numId w:val="13"/>
        </w:numPr>
        <w:spacing w:line="540" w:lineRule="exact"/>
        <w:ind w:firstLine="640"/>
        <w:jc w:val="left"/>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违约责任</w:t>
      </w:r>
    </w:p>
    <w:p>
      <w:pPr>
        <w:widowControl/>
        <w:spacing w:line="540" w:lineRule="exact"/>
        <w:ind w:firstLine="480" w:firstLineChars="200"/>
        <w:jc w:val="left"/>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施工期间，如发生农民工工资拖欠，按下列方式处理:</w:t>
      </w:r>
    </w:p>
    <w:p>
      <w:pPr>
        <w:widowControl/>
        <w:numPr>
          <w:ilvl w:val="0"/>
          <w:numId w:val="15"/>
        </w:numPr>
        <w:spacing w:line="540" w:lineRule="exact"/>
        <w:ind w:firstLine="640"/>
        <w:jc w:val="left"/>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在项目资金充足时，甲方未按时足额支付农民工工资的，由其无条件支付所欠农民工工资，并承担相应的违约责任。</w:t>
      </w:r>
    </w:p>
    <w:p>
      <w:pPr>
        <w:widowControl/>
        <w:numPr>
          <w:ilvl w:val="0"/>
          <w:numId w:val="15"/>
        </w:numPr>
        <w:spacing w:line="540" w:lineRule="exact"/>
        <w:ind w:firstLine="640"/>
        <w:jc w:val="left"/>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乙方提供虚假身份信息套取工资、高估冒算农民工工资的，由甲方先行支付所欠工人工资。经核实，高估冒算超出费用，视为乙方恶意违约，甲方有权按高估冒算超出费用的2倍向乙方主张违约责任，并可直接从剩余劳务工程款中直接扣除，剩余劳务工程款</w:t>
      </w:r>
      <w:r>
        <w:rPr>
          <w:rFonts w:hint="eastAsia" w:ascii="仿宋" w:hAnsi="仿宋" w:eastAsia="仿宋" w:cs="仿宋"/>
          <w:color w:val="auto"/>
          <w:kern w:val="0"/>
          <w:sz w:val="24"/>
          <w:szCs w:val="24"/>
          <w:highlight w:val="none"/>
          <w:lang w:val="en-US" w:eastAsia="zh-CN" w:bidi="ar"/>
        </w:rPr>
        <w:t>不够扣回时，甲方向乙方进行追偿，乙方承担一切不利后果</w:t>
      </w:r>
      <w:r>
        <w:rPr>
          <w:rFonts w:hint="eastAsia" w:ascii="仿宋" w:hAnsi="仿宋" w:eastAsia="仿宋" w:cs="仿宋"/>
          <w:color w:val="auto"/>
          <w:kern w:val="0"/>
          <w:sz w:val="24"/>
          <w:szCs w:val="24"/>
          <w:highlight w:val="none"/>
          <w:lang w:bidi="ar"/>
        </w:rPr>
        <w:t>。</w:t>
      </w:r>
    </w:p>
    <w:p>
      <w:pPr>
        <w:widowControl/>
        <w:numPr>
          <w:ilvl w:val="0"/>
          <w:numId w:val="15"/>
        </w:numPr>
        <w:spacing w:line="540" w:lineRule="exact"/>
        <w:ind w:firstLine="640"/>
        <w:jc w:val="left"/>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任何一方未履行承诺，对方有权追究其法律责任。</w:t>
      </w:r>
    </w:p>
    <w:p>
      <w:pPr>
        <w:widowControl/>
        <w:numPr>
          <w:ilvl w:val="0"/>
          <w:numId w:val="15"/>
        </w:numPr>
        <w:spacing w:line="540" w:lineRule="exact"/>
        <w:ind w:firstLine="640"/>
        <w:jc w:val="left"/>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本协议一式陆份，甲方持肆份,乙方持贰份，双方签字盖章后生效。</w:t>
      </w:r>
    </w:p>
    <w:p>
      <w:pPr>
        <w:pStyle w:val="23"/>
        <w:rPr>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638" w:leftChars="304"/>
        <w:textAlignment w:val="auto"/>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bidi="ar"/>
        </w:rPr>
        <w:t>甲方:(公司公章)                  乙方:(公章)</w:t>
      </w:r>
    </w:p>
    <w:p>
      <w:pPr>
        <w:keepNext w:val="0"/>
        <w:keepLines w:val="0"/>
        <w:pageBreakBefore w:val="0"/>
        <w:widowControl w:val="0"/>
        <w:kinsoku/>
        <w:wordWrap/>
        <w:overflowPunct/>
        <w:topLinePunct w:val="0"/>
        <w:autoSpaceDE/>
        <w:autoSpaceDN/>
        <w:bidi w:val="0"/>
        <w:adjustRightInd/>
        <w:snapToGrid/>
        <w:spacing w:line="480" w:lineRule="auto"/>
        <w:ind w:left="638" w:leftChars="304"/>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bidi="ar"/>
        </w:rPr>
        <w:t>法定代表:(签字)              法定代表:(签</w:t>
      </w:r>
      <w:r>
        <w:rPr>
          <w:rFonts w:hint="eastAsia" w:ascii="仿宋" w:hAnsi="仿宋" w:eastAsia="仿宋" w:cs="仿宋"/>
          <w:color w:val="auto"/>
          <w:kern w:val="0"/>
          <w:sz w:val="24"/>
          <w:szCs w:val="24"/>
          <w:highlight w:val="none"/>
          <w:lang w:val="en-US" w:eastAsia="zh-CN" w:bidi="ar"/>
        </w:rPr>
        <w:t>字）</w:t>
      </w:r>
    </w:p>
    <w:p>
      <w:pPr>
        <w:keepNext w:val="0"/>
        <w:keepLines w:val="0"/>
        <w:pageBreakBefore w:val="0"/>
        <w:widowControl w:val="0"/>
        <w:kinsoku/>
        <w:wordWrap/>
        <w:overflowPunct/>
        <w:topLinePunct w:val="0"/>
        <w:autoSpaceDE/>
        <w:autoSpaceDN/>
        <w:bidi w:val="0"/>
        <w:adjustRightInd/>
        <w:snapToGrid/>
        <w:spacing w:line="480" w:lineRule="auto"/>
        <w:ind w:left="638" w:leftChars="304"/>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（或委托代理人）：</w:t>
      </w:r>
    </w:p>
    <w:p>
      <w:pPr>
        <w:keepNext w:val="0"/>
        <w:keepLines w:val="0"/>
        <w:pageBreakBefore w:val="0"/>
        <w:widowControl w:val="0"/>
        <w:kinsoku/>
        <w:wordWrap/>
        <w:overflowPunct/>
        <w:topLinePunct w:val="0"/>
        <w:autoSpaceDE/>
        <w:autoSpaceDN/>
        <w:bidi w:val="0"/>
        <w:adjustRightInd/>
        <w:snapToGrid/>
        <w:spacing w:line="480" w:lineRule="auto"/>
        <w:ind w:left="638" w:leftChars="304"/>
        <w:textAlignment w:val="auto"/>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 xml:space="preserve">    年  月  日                   年  月  日</w:t>
      </w:r>
    </w:p>
    <w:p>
      <w:pPr>
        <w:spacing w:before="104" w:line="224" w:lineRule="auto"/>
        <w:ind w:left="4"/>
        <w:rPr>
          <w:rFonts w:ascii="黑体" w:hAnsi="黑体" w:eastAsia="黑体" w:cs="黑体"/>
          <w:b/>
          <w:bCs/>
          <w:color w:val="auto"/>
          <w:spacing w:val="25"/>
          <w:sz w:val="32"/>
          <w:szCs w:val="32"/>
          <w:highlight w:val="none"/>
        </w:rPr>
        <w:sectPr>
          <w:pgSz w:w="11910" w:h="16840"/>
          <w:pgMar w:top="1431" w:right="1369" w:bottom="1684" w:left="1579" w:header="0" w:footer="1367" w:gutter="0"/>
          <w:pgBorders>
            <w:top w:val="none" w:sz="0" w:space="0"/>
            <w:left w:val="none" w:sz="0" w:space="0"/>
            <w:bottom w:val="none" w:sz="0" w:space="0"/>
            <w:right w:val="none" w:sz="0" w:space="0"/>
          </w:pgBorders>
          <w:pgNumType w:fmt="decimal"/>
          <w:cols w:space="720" w:num="1"/>
        </w:sectPr>
      </w:pPr>
    </w:p>
    <w:p>
      <w:pPr>
        <w:pStyle w:val="28"/>
        <w:bidi w:val="0"/>
        <w:outlineLvl w:val="1"/>
        <w:rPr>
          <w:rFonts w:hint="default"/>
          <w:color w:val="auto"/>
          <w:highlight w:val="none"/>
          <w:lang w:val="en-US"/>
        </w:rPr>
      </w:pPr>
      <w:r>
        <w:rPr>
          <w:rFonts w:hint="eastAsia"/>
          <w:color w:val="auto"/>
          <w:highlight w:val="none"/>
        </w:rPr>
        <w:t>附件</w:t>
      </w:r>
      <w:r>
        <w:rPr>
          <w:rFonts w:hint="eastAsia"/>
          <w:color w:val="auto"/>
          <w:highlight w:val="none"/>
          <w:lang w:val="en-US" w:eastAsia="zh-CN"/>
        </w:rPr>
        <w:t>十七 告知书</w:t>
      </w:r>
    </w:p>
    <w:p>
      <w:pPr>
        <w:spacing w:before="367" w:line="218" w:lineRule="auto"/>
        <w:ind w:left="3786"/>
        <w:rPr>
          <w:rFonts w:ascii="宋体" w:hAnsi="宋体" w:eastAsia="宋体" w:cs="宋体"/>
          <w:color w:val="auto"/>
          <w:sz w:val="47"/>
          <w:szCs w:val="47"/>
          <w:highlight w:val="none"/>
        </w:rPr>
      </w:pPr>
      <w:r>
        <w:rPr>
          <w:rFonts w:ascii="宋体" w:hAnsi="宋体" w:eastAsia="宋体" w:cs="宋体"/>
          <w:b/>
          <w:bCs/>
          <w:color w:val="auto"/>
          <w:spacing w:val="-22"/>
          <w:sz w:val="47"/>
          <w:szCs w:val="47"/>
          <w:highlight w:val="none"/>
        </w:rPr>
        <w:t>告知书</w:t>
      </w:r>
    </w:p>
    <w:p>
      <w:pPr>
        <w:spacing w:line="361" w:lineRule="auto"/>
        <w:rPr>
          <w:rFonts w:ascii="Arial"/>
          <w:color w:val="auto"/>
          <w:sz w:val="21"/>
          <w:highlight w:val="none"/>
        </w:rPr>
      </w:pPr>
    </w:p>
    <w:p>
      <w:pPr>
        <w:spacing w:before="104" w:line="223" w:lineRule="auto"/>
        <w:ind w:left="1910"/>
        <w:rPr>
          <w:rFonts w:ascii="仿宋" w:hAnsi="仿宋" w:eastAsia="仿宋" w:cs="仿宋"/>
          <w:color w:val="auto"/>
          <w:sz w:val="32"/>
          <w:szCs w:val="32"/>
          <w:highlight w:val="none"/>
        </w:rPr>
      </w:pPr>
      <w:r>
        <w:rPr>
          <w:rFonts w:ascii="仿宋" w:hAnsi="仿宋" w:eastAsia="仿宋" w:cs="仿宋"/>
          <w:color w:val="auto"/>
          <w:spacing w:val="-14"/>
          <w:sz w:val="32"/>
          <w:szCs w:val="32"/>
          <w:highlight w:val="none"/>
        </w:rPr>
        <w:t>公司/个人：</w:t>
      </w:r>
    </w:p>
    <w:p>
      <w:pPr>
        <w:spacing w:before="210" w:line="340" w:lineRule="auto"/>
        <w:ind w:firstLine="630"/>
        <w:jc w:val="both"/>
        <w:rPr>
          <w:rFonts w:ascii="仿宋" w:hAnsi="仿宋" w:eastAsia="仿宋" w:cs="仿宋"/>
          <w:color w:val="auto"/>
          <w:sz w:val="32"/>
          <w:szCs w:val="32"/>
          <w:highlight w:val="none"/>
        </w:rPr>
      </w:pPr>
      <w:r>
        <w:rPr>
          <w:rFonts w:ascii="仿宋" w:hAnsi="仿宋" w:eastAsia="仿宋" w:cs="仿宋"/>
          <w:color w:val="auto"/>
          <w:spacing w:val="-5"/>
          <w:sz w:val="32"/>
          <w:szCs w:val="32"/>
          <w:highlight w:val="none"/>
        </w:rPr>
        <w:t>为规范工程项目管理，现将经济业务办理流程及项目印章使</w:t>
      </w:r>
      <w:r>
        <w:rPr>
          <w:rFonts w:ascii="仿宋" w:hAnsi="仿宋" w:eastAsia="仿宋" w:cs="仿宋"/>
          <w:color w:val="auto"/>
          <w:sz w:val="32"/>
          <w:szCs w:val="32"/>
          <w:highlight w:val="none"/>
        </w:rPr>
        <w:t xml:space="preserve"> </w:t>
      </w:r>
      <w:r>
        <w:rPr>
          <w:rFonts w:ascii="仿宋" w:hAnsi="仿宋" w:eastAsia="仿宋" w:cs="仿宋"/>
          <w:color w:val="auto"/>
          <w:spacing w:val="5"/>
          <w:sz w:val="32"/>
          <w:szCs w:val="32"/>
          <w:highlight w:val="none"/>
        </w:rPr>
        <w:t>用范围、农民工等人员劳动合同(劳务)关系告知贵单位/个人，</w:t>
      </w:r>
    </w:p>
    <w:p>
      <w:pPr>
        <w:spacing w:line="220" w:lineRule="auto"/>
        <w:rPr>
          <w:rFonts w:ascii="仿宋" w:hAnsi="仿宋" w:eastAsia="仿宋" w:cs="仿宋"/>
          <w:color w:val="auto"/>
          <w:sz w:val="32"/>
          <w:szCs w:val="32"/>
          <w:highlight w:val="none"/>
        </w:rPr>
      </w:pPr>
      <w:r>
        <w:rPr>
          <w:rFonts w:ascii="仿宋" w:hAnsi="仿宋" w:eastAsia="仿宋" w:cs="仿宋"/>
          <w:color w:val="auto"/>
          <w:spacing w:val="-10"/>
          <w:sz w:val="32"/>
          <w:szCs w:val="32"/>
          <w:highlight w:val="none"/>
        </w:rPr>
        <w:t>请贵单位/个人知晓并遵守。</w:t>
      </w:r>
    </w:p>
    <w:p>
      <w:pPr>
        <w:spacing w:before="207" w:line="221" w:lineRule="auto"/>
        <w:ind w:left="624"/>
        <w:outlineLvl w:val="0"/>
        <w:rPr>
          <w:rFonts w:ascii="黑体" w:hAnsi="黑体" w:eastAsia="黑体" w:cs="黑体"/>
          <w:color w:val="auto"/>
          <w:sz w:val="32"/>
          <w:szCs w:val="32"/>
          <w:highlight w:val="none"/>
        </w:rPr>
      </w:pPr>
      <w:r>
        <w:rPr>
          <w:rFonts w:ascii="黑体" w:hAnsi="黑体" w:eastAsia="黑体" w:cs="黑体"/>
          <w:b/>
          <w:bCs/>
          <w:color w:val="auto"/>
          <w:spacing w:val="-6"/>
          <w:sz w:val="32"/>
          <w:szCs w:val="32"/>
          <w:highlight w:val="none"/>
        </w:rPr>
        <w:t>一、项目经济业务办理流程</w:t>
      </w:r>
    </w:p>
    <w:p>
      <w:pPr>
        <w:spacing w:before="207" w:line="341" w:lineRule="auto"/>
        <w:ind w:right="97" w:firstLine="630"/>
        <w:rPr>
          <w:rFonts w:ascii="仿宋" w:hAnsi="仿宋" w:eastAsia="仿宋" w:cs="仿宋"/>
          <w:color w:val="auto"/>
          <w:sz w:val="32"/>
          <w:szCs w:val="32"/>
          <w:highlight w:val="none"/>
        </w:rPr>
      </w:pPr>
      <w:r>
        <w:rPr>
          <w:rFonts w:ascii="仿宋" w:hAnsi="仿宋" w:eastAsia="仿宋" w:cs="仿宋"/>
          <w:color w:val="auto"/>
          <w:spacing w:val="-4"/>
          <w:sz w:val="32"/>
          <w:szCs w:val="32"/>
          <w:highlight w:val="none"/>
        </w:rPr>
        <w:t>项目办理涉及合同签订、变更以及结算等经济业务的，我公</w:t>
      </w:r>
      <w:r>
        <w:rPr>
          <w:rFonts w:ascii="仿宋" w:hAnsi="仿宋" w:eastAsia="仿宋" w:cs="仿宋"/>
          <w:color w:val="auto"/>
          <w:spacing w:val="15"/>
          <w:sz w:val="32"/>
          <w:szCs w:val="32"/>
          <w:highlight w:val="none"/>
        </w:rPr>
        <w:t xml:space="preserve"> </w:t>
      </w:r>
      <w:r>
        <w:rPr>
          <w:rFonts w:ascii="仿宋" w:hAnsi="仿宋" w:eastAsia="仿宋" w:cs="仿宋"/>
          <w:color w:val="auto"/>
          <w:spacing w:val="-8"/>
          <w:sz w:val="32"/>
          <w:szCs w:val="32"/>
          <w:highlight w:val="none"/>
        </w:rPr>
        <w:t>司及合同约定均有相关的办理、审批流程，流程包括但不限于：</w:t>
      </w:r>
      <w:r>
        <w:rPr>
          <w:rFonts w:ascii="仿宋" w:hAnsi="仿宋" w:eastAsia="仿宋" w:cs="仿宋"/>
          <w:color w:val="auto"/>
          <w:spacing w:val="2"/>
          <w:sz w:val="32"/>
          <w:szCs w:val="32"/>
          <w:highlight w:val="none"/>
        </w:rPr>
        <w:t xml:space="preserve"> </w:t>
      </w:r>
      <w:r>
        <w:rPr>
          <w:rFonts w:ascii="仿宋" w:hAnsi="仿宋" w:eastAsia="仿宋" w:cs="仿宋"/>
          <w:color w:val="auto"/>
          <w:spacing w:val="17"/>
          <w:sz w:val="32"/>
          <w:szCs w:val="32"/>
          <w:highlight w:val="none"/>
        </w:rPr>
        <w:t>业务部门(项目部)发起，直管部(事业部)及公司相关业务部</w:t>
      </w:r>
      <w:r>
        <w:rPr>
          <w:rFonts w:ascii="仿宋" w:hAnsi="仿宋" w:eastAsia="仿宋" w:cs="仿宋"/>
          <w:color w:val="auto"/>
          <w:spacing w:val="10"/>
          <w:sz w:val="32"/>
          <w:szCs w:val="32"/>
          <w:highlight w:val="none"/>
        </w:rPr>
        <w:t xml:space="preserve"> </w:t>
      </w:r>
      <w:r>
        <w:rPr>
          <w:rFonts w:ascii="仿宋" w:hAnsi="仿宋" w:eastAsia="仿宋" w:cs="仿宋"/>
          <w:color w:val="auto"/>
          <w:spacing w:val="-2"/>
          <w:sz w:val="32"/>
          <w:szCs w:val="32"/>
          <w:highlight w:val="none"/>
        </w:rPr>
        <w:t>门审核，公司领导审批，授权人员签字且加盖</w:t>
      </w:r>
      <w:r>
        <w:rPr>
          <w:rFonts w:hint="eastAsia" w:ascii="仿宋" w:hAnsi="仿宋" w:eastAsia="仿宋" w:cs="仿宋"/>
          <w:color w:val="auto"/>
          <w:spacing w:val="-2"/>
          <w:sz w:val="32"/>
          <w:szCs w:val="32"/>
          <w:highlight w:val="none"/>
          <w:u w:val="single"/>
        </w:rPr>
        <w:t>云南建投第十建设有限公司绥江分公司</w:t>
      </w:r>
      <w:r>
        <w:rPr>
          <w:rFonts w:ascii="仿宋" w:hAnsi="仿宋" w:eastAsia="仿宋" w:cs="仿宋"/>
          <w:color w:val="auto"/>
          <w:spacing w:val="-2"/>
          <w:sz w:val="32"/>
          <w:szCs w:val="32"/>
          <w:highlight w:val="none"/>
        </w:rPr>
        <w:t>公章(合</w:t>
      </w:r>
      <w:r>
        <w:rPr>
          <w:rFonts w:ascii="仿宋" w:hAnsi="仿宋" w:eastAsia="仿宋" w:cs="仿宋"/>
          <w:color w:val="auto"/>
          <w:sz w:val="32"/>
          <w:szCs w:val="32"/>
          <w:highlight w:val="none"/>
        </w:rPr>
        <w:t>同或结算专用章)后方为有效。</w:t>
      </w:r>
    </w:p>
    <w:p>
      <w:pPr>
        <w:spacing w:before="205" w:line="340" w:lineRule="auto"/>
        <w:ind w:firstLine="630"/>
        <w:rPr>
          <w:rFonts w:ascii="仿宋" w:hAnsi="仿宋" w:eastAsia="仿宋" w:cs="仿宋"/>
          <w:color w:val="auto"/>
          <w:sz w:val="32"/>
          <w:szCs w:val="32"/>
          <w:highlight w:val="none"/>
        </w:rPr>
      </w:pPr>
      <w:r>
        <w:rPr>
          <w:rFonts w:ascii="仿宋" w:hAnsi="仿宋" w:eastAsia="仿宋" w:cs="仿宋"/>
          <w:color w:val="auto"/>
          <w:spacing w:val="-5"/>
          <w:sz w:val="32"/>
          <w:szCs w:val="32"/>
          <w:highlight w:val="none"/>
        </w:rPr>
        <w:t>项目经理(执行经理)、项目副经理、技术负责人、主任经济</w:t>
      </w:r>
      <w:r>
        <w:rPr>
          <w:rFonts w:ascii="仿宋" w:hAnsi="仿宋" w:eastAsia="仿宋" w:cs="仿宋"/>
          <w:color w:val="auto"/>
          <w:spacing w:val="8"/>
          <w:sz w:val="32"/>
          <w:szCs w:val="32"/>
          <w:highlight w:val="none"/>
        </w:rPr>
        <w:t xml:space="preserve"> </w:t>
      </w:r>
      <w:r>
        <w:rPr>
          <w:rFonts w:ascii="仿宋" w:hAnsi="仿宋" w:eastAsia="仿宋" w:cs="仿宋"/>
          <w:color w:val="auto"/>
          <w:sz w:val="32"/>
          <w:szCs w:val="32"/>
          <w:highlight w:val="none"/>
        </w:rPr>
        <w:t xml:space="preserve">师、预算员、财务人员、办公室人员、材料员、施工员(工长)、 </w:t>
      </w:r>
      <w:r>
        <w:rPr>
          <w:rFonts w:ascii="仿宋" w:hAnsi="仿宋" w:eastAsia="仿宋" w:cs="仿宋"/>
          <w:color w:val="auto"/>
          <w:spacing w:val="-11"/>
          <w:sz w:val="32"/>
          <w:szCs w:val="32"/>
          <w:highlight w:val="none"/>
        </w:rPr>
        <w:t>安全管理员、质量管理员、资料员等项目管理人员按照各自职责</w:t>
      </w:r>
      <w:r>
        <w:rPr>
          <w:rFonts w:ascii="仿宋" w:hAnsi="仿宋" w:eastAsia="仿宋" w:cs="仿宋"/>
          <w:color w:val="auto"/>
          <w:spacing w:val="-12"/>
          <w:sz w:val="32"/>
          <w:szCs w:val="32"/>
          <w:highlight w:val="none"/>
        </w:rPr>
        <w:t>，</w:t>
      </w:r>
    </w:p>
    <w:p>
      <w:pPr>
        <w:spacing w:line="220" w:lineRule="auto"/>
        <w:rPr>
          <w:rFonts w:ascii="仿宋" w:hAnsi="仿宋" w:eastAsia="仿宋" w:cs="仿宋"/>
          <w:color w:val="auto"/>
          <w:sz w:val="32"/>
          <w:szCs w:val="32"/>
          <w:highlight w:val="none"/>
        </w:rPr>
      </w:pPr>
      <w:r>
        <w:rPr>
          <w:rFonts w:ascii="仿宋" w:hAnsi="仿宋" w:eastAsia="仿宋" w:cs="仿宋"/>
          <w:color w:val="auto"/>
          <w:spacing w:val="-10"/>
          <w:sz w:val="32"/>
          <w:szCs w:val="32"/>
          <w:highlight w:val="none"/>
        </w:rPr>
        <w:t>对涉及的业务开展管理工作。</w:t>
      </w:r>
    </w:p>
    <w:p>
      <w:pPr>
        <w:spacing w:before="207" w:line="341" w:lineRule="auto"/>
        <w:ind w:right="97" w:firstLine="630"/>
        <w:rPr>
          <w:rFonts w:ascii="仿宋" w:hAnsi="仿宋" w:eastAsia="仿宋" w:cs="仿宋"/>
          <w:color w:val="auto"/>
          <w:spacing w:val="2"/>
          <w:sz w:val="32"/>
          <w:szCs w:val="32"/>
          <w:highlight w:val="none"/>
        </w:rPr>
      </w:pPr>
      <w:r>
        <w:rPr>
          <w:rFonts w:ascii="仿宋" w:hAnsi="仿宋" w:eastAsia="仿宋" w:cs="仿宋"/>
          <w:color w:val="auto"/>
          <w:spacing w:val="-4"/>
          <w:sz w:val="32"/>
          <w:szCs w:val="32"/>
          <w:highlight w:val="none"/>
        </w:rPr>
        <w:t>上述项目管理人员未经我公司书面授权，私自对外签署的任 何文件(包括但不限于：对外签署合同、变更合同内容、终止合同、对外结算、对外承诺、对外担保、对外借款、收款、出具情况说明、签署具有合同性质的会议纪要等)均不视为我公司行为，与我公司无关，由其个人及相对方自行承担相应责任。</w:t>
      </w:r>
    </w:p>
    <w:p>
      <w:pPr>
        <w:spacing w:before="211" w:line="340" w:lineRule="auto"/>
        <w:ind w:right="95" w:firstLine="630"/>
        <w:rPr>
          <w:rFonts w:ascii="仿宋" w:hAnsi="仿宋" w:eastAsia="仿宋" w:cs="仿宋"/>
          <w:color w:val="auto"/>
          <w:spacing w:val="2"/>
          <w:sz w:val="32"/>
          <w:szCs w:val="32"/>
          <w:highlight w:val="none"/>
        </w:rPr>
        <w:sectPr>
          <w:pgSz w:w="11910" w:h="16840"/>
          <w:pgMar w:top="1431" w:right="1369" w:bottom="1684" w:left="1579" w:header="0" w:footer="1367" w:gutter="0"/>
          <w:pgBorders>
            <w:top w:val="none" w:sz="0" w:space="0"/>
            <w:left w:val="none" w:sz="0" w:space="0"/>
            <w:bottom w:val="none" w:sz="0" w:space="0"/>
            <w:right w:val="none" w:sz="0" w:space="0"/>
          </w:pgBorders>
          <w:pgNumType w:fmt="decimal"/>
          <w:cols w:space="720" w:num="1"/>
        </w:sectPr>
      </w:pPr>
    </w:p>
    <w:p>
      <w:pPr>
        <w:spacing w:before="185" w:line="222" w:lineRule="auto"/>
        <w:ind w:left="624"/>
        <w:outlineLvl w:val="0"/>
        <w:rPr>
          <w:rFonts w:ascii="黑体" w:hAnsi="黑体" w:eastAsia="黑体" w:cs="黑体"/>
          <w:color w:val="auto"/>
          <w:sz w:val="32"/>
          <w:szCs w:val="32"/>
          <w:highlight w:val="none"/>
        </w:rPr>
      </w:pPr>
      <w:r>
        <w:rPr>
          <w:rFonts w:ascii="黑体" w:hAnsi="黑体" w:eastAsia="黑体" w:cs="黑体"/>
          <w:b/>
          <w:bCs/>
          <w:color w:val="auto"/>
          <w:spacing w:val="-14"/>
          <w:sz w:val="32"/>
          <w:szCs w:val="32"/>
          <w:highlight w:val="none"/>
        </w:rPr>
        <w:t>二、</w:t>
      </w:r>
      <w:r>
        <w:rPr>
          <w:rFonts w:ascii="黑体" w:hAnsi="黑体" w:eastAsia="黑体" w:cs="黑体"/>
          <w:color w:val="auto"/>
          <w:spacing w:val="-86"/>
          <w:sz w:val="32"/>
          <w:szCs w:val="32"/>
          <w:highlight w:val="none"/>
        </w:rPr>
        <w:t xml:space="preserve"> </w:t>
      </w:r>
      <w:r>
        <w:rPr>
          <w:rFonts w:ascii="黑体" w:hAnsi="黑体" w:eastAsia="黑体" w:cs="黑体"/>
          <w:b/>
          <w:bCs/>
          <w:color w:val="auto"/>
          <w:spacing w:val="-14"/>
          <w:sz w:val="32"/>
          <w:szCs w:val="32"/>
          <w:highlight w:val="none"/>
        </w:rPr>
        <w:t>项目印章使用范围</w:t>
      </w:r>
    </w:p>
    <w:p>
      <w:pPr>
        <w:spacing w:before="211" w:line="340" w:lineRule="auto"/>
        <w:ind w:right="95" w:firstLine="630"/>
        <w:rPr>
          <w:rFonts w:ascii="仿宋" w:hAnsi="仿宋" w:eastAsia="仿宋" w:cs="仿宋"/>
          <w:color w:val="auto"/>
          <w:spacing w:val="-4"/>
          <w:sz w:val="32"/>
          <w:szCs w:val="32"/>
          <w:highlight w:val="none"/>
        </w:rPr>
      </w:pPr>
      <w:r>
        <w:rPr>
          <w:rFonts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一</w:t>
      </w:r>
      <w:r>
        <w:rPr>
          <w:rFonts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rPr>
        <w:t>对于该工程项目我公司仅刻制了绥江县保障性租赁住房建设项目资料专用章共1 枚章(上述绥江县保障性租赁住房建设项目资料专用章印章保存于资料办公室)</w:t>
      </w:r>
      <w:r>
        <w:rPr>
          <w:rFonts w:ascii="仿宋" w:hAnsi="仿宋" w:eastAsia="仿宋" w:cs="仿宋"/>
          <w:color w:val="auto"/>
          <w:spacing w:val="-4"/>
          <w:sz w:val="32"/>
          <w:szCs w:val="32"/>
          <w:highlight w:val="none"/>
        </w:rPr>
        <w:t>。印章启用时间为：</w:t>
      </w:r>
      <w:r>
        <w:rPr>
          <w:rFonts w:hint="eastAsia" w:ascii="仿宋" w:hAnsi="仿宋" w:eastAsia="仿宋" w:cs="仿宋"/>
          <w:color w:val="auto"/>
          <w:spacing w:val="-4"/>
          <w:sz w:val="32"/>
          <w:szCs w:val="32"/>
          <w:highlight w:val="none"/>
          <w:lang w:val="en-US" w:eastAsia="zh-CN"/>
        </w:rPr>
        <w:t>2022</w:t>
      </w:r>
      <w:r>
        <w:rPr>
          <w:rFonts w:ascii="仿宋" w:hAnsi="仿宋" w:eastAsia="仿宋" w:cs="仿宋"/>
          <w:color w:val="auto"/>
          <w:spacing w:val="-4"/>
          <w:sz w:val="32"/>
          <w:szCs w:val="32"/>
          <w:highlight w:val="none"/>
        </w:rPr>
        <w:t>年</w:t>
      </w:r>
      <w:r>
        <w:rPr>
          <w:rFonts w:hint="eastAsia" w:ascii="仿宋" w:hAnsi="仿宋" w:eastAsia="仿宋" w:cs="仿宋"/>
          <w:color w:val="auto"/>
          <w:spacing w:val="-4"/>
          <w:sz w:val="32"/>
          <w:szCs w:val="32"/>
          <w:highlight w:val="none"/>
          <w:lang w:val="en-US" w:eastAsia="zh-CN"/>
        </w:rPr>
        <w:t>9</w:t>
      </w:r>
      <w:r>
        <w:rPr>
          <w:rFonts w:ascii="仿宋" w:hAnsi="仿宋" w:eastAsia="仿宋" w:cs="仿宋"/>
          <w:color w:val="auto"/>
          <w:spacing w:val="-4"/>
          <w:sz w:val="32"/>
          <w:szCs w:val="32"/>
          <w:highlight w:val="none"/>
        </w:rPr>
        <w:t>月</w:t>
      </w:r>
      <w:r>
        <w:rPr>
          <w:rFonts w:hint="eastAsia" w:ascii="仿宋" w:hAnsi="仿宋" w:eastAsia="仿宋" w:cs="仿宋"/>
          <w:color w:val="auto"/>
          <w:spacing w:val="-4"/>
          <w:sz w:val="32"/>
          <w:szCs w:val="32"/>
          <w:highlight w:val="none"/>
          <w:lang w:val="en-US" w:eastAsia="zh-CN"/>
        </w:rPr>
        <w:t>27</w:t>
      </w:r>
      <w:r>
        <w:rPr>
          <w:rFonts w:ascii="仿宋" w:hAnsi="仿宋" w:eastAsia="仿宋" w:cs="仿宋"/>
          <w:color w:val="auto"/>
          <w:spacing w:val="-4"/>
          <w:sz w:val="32"/>
          <w:szCs w:val="32"/>
          <w:highlight w:val="none"/>
        </w:rPr>
        <w:t>日。</w:t>
      </w:r>
    </w:p>
    <w:p>
      <w:pPr>
        <w:spacing w:before="193" w:line="219" w:lineRule="auto"/>
        <w:ind w:left="759"/>
        <w:rPr>
          <w:rFonts w:ascii="仿宋" w:hAnsi="仿宋" w:eastAsia="仿宋" w:cs="仿宋"/>
          <w:color w:val="auto"/>
          <w:sz w:val="32"/>
          <w:szCs w:val="32"/>
          <w:highlight w:val="none"/>
        </w:rPr>
      </w:pPr>
      <w:r>
        <w:rPr>
          <w:rFonts w:ascii="仿宋" w:hAnsi="仿宋" w:eastAsia="仿宋" w:cs="仿宋"/>
          <w:color w:val="auto"/>
          <w:spacing w:val="9"/>
          <w:sz w:val="32"/>
          <w:szCs w:val="32"/>
          <w:highlight w:val="none"/>
        </w:rPr>
        <w:t>(二)印章印样：</w:t>
      </w:r>
    </w:p>
    <w:p>
      <w:pPr>
        <w:spacing w:line="244" w:lineRule="auto"/>
        <w:rPr>
          <w:rFonts w:ascii="Arial"/>
          <w:color w:val="auto"/>
          <w:sz w:val="21"/>
          <w:highlight w:val="none"/>
        </w:rPr>
      </w:pPr>
    </w:p>
    <w:p>
      <w:pPr>
        <w:spacing w:line="245" w:lineRule="auto"/>
        <w:rPr>
          <w:rFonts w:hint="eastAsia" w:ascii="Arial" w:eastAsia="宋体"/>
          <w:color w:val="auto"/>
          <w:sz w:val="21"/>
          <w:highlight w:val="none"/>
          <w:lang w:eastAsia="zh-CN"/>
        </w:rPr>
      </w:pPr>
      <w:r>
        <w:rPr>
          <w:rFonts w:hint="eastAsia" w:ascii="Arial" w:eastAsia="宋体"/>
          <w:color w:val="auto"/>
          <w:sz w:val="21"/>
          <w:highlight w:val="none"/>
          <w:lang w:eastAsia="zh-CN"/>
        </w:rPr>
        <w:drawing>
          <wp:inline distT="0" distB="0" distL="114300" distR="114300">
            <wp:extent cx="2067560" cy="2052320"/>
            <wp:effectExtent l="0" t="0" r="8890" b="5080"/>
            <wp:docPr id="7" name="图片 7"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01"/>
                    <pic:cNvPicPr>
                      <a:picLocks noChangeAspect="1"/>
                    </pic:cNvPicPr>
                  </pic:nvPicPr>
                  <pic:blipFill>
                    <a:blip r:embed="rId25"/>
                    <a:stretch>
                      <a:fillRect/>
                    </a:stretch>
                  </pic:blipFill>
                  <pic:spPr>
                    <a:xfrm>
                      <a:off x="0" y="0"/>
                      <a:ext cx="2067560" cy="2052320"/>
                    </a:xfrm>
                    <a:prstGeom prst="rect">
                      <a:avLst/>
                    </a:prstGeom>
                  </pic:spPr>
                </pic:pic>
              </a:graphicData>
            </a:graphic>
          </wp:inline>
        </w:drawing>
      </w:r>
    </w:p>
    <w:p>
      <w:pPr>
        <w:spacing w:line="245" w:lineRule="auto"/>
        <w:rPr>
          <w:rFonts w:ascii="Arial"/>
          <w:color w:val="auto"/>
          <w:sz w:val="21"/>
          <w:highlight w:val="none"/>
        </w:rPr>
      </w:pPr>
    </w:p>
    <w:p>
      <w:pPr>
        <w:spacing w:before="105" w:line="222" w:lineRule="auto"/>
        <w:ind w:left="759"/>
        <w:rPr>
          <w:rFonts w:ascii="仿宋" w:hAnsi="仿宋" w:eastAsia="仿宋" w:cs="仿宋"/>
          <w:color w:val="auto"/>
          <w:sz w:val="32"/>
          <w:szCs w:val="32"/>
          <w:highlight w:val="none"/>
        </w:rPr>
      </w:pPr>
      <w:r>
        <w:rPr>
          <w:rFonts w:ascii="仿宋" w:hAnsi="仿宋" w:eastAsia="仿宋" w:cs="仿宋"/>
          <w:color w:val="auto"/>
          <w:spacing w:val="11"/>
          <w:sz w:val="32"/>
          <w:szCs w:val="32"/>
          <w:highlight w:val="none"/>
        </w:rPr>
        <w:t>(项目章印模)</w:t>
      </w:r>
    </w:p>
    <w:p>
      <w:pPr>
        <w:spacing w:before="104" w:line="341" w:lineRule="auto"/>
        <w:ind w:right="120" w:firstLine="759"/>
        <w:rPr>
          <w:rFonts w:ascii="仿宋" w:hAnsi="仿宋" w:eastAsia="仿宋" w:cs="仿宋"/>
          <w:color w:val="auto"/>
          <w:sz w:val="32"/>
          <w:szCs w:val="32"/>
          <w:highlight w:val="none"/>
        </w:rPr>
      </w:pPr>
      <w:r>
        <w:rPr>
          <w:rFonts w:ascii="仿宋" w:hAnsi="仿宋" w:eastAsia="仿宋" w:cs="仿宋"/>
          <w:color w:val="auto"/>
          <w:spacing w:val="4"/>
          <w:sz w:val="32"/>
          <w:szCs w:val="32"/>
          <w:highlight w:val="none"/>
        </w:rPr>
        <w:t xml:space="preserve">(三)上述印章系非经济类印章，仅供项目部与业主、监理 </w:t>
      </w:r>
      <w:r>
        <w:rPr>
          <w:rFonts w:ascii="仿宋" w:hAnsi="仿宋" w:eastAsia="仿宋" w:cs="仿宋"/>
          <w:color w:val="auto"/>
          <w:spacing w:val="-4"/>
          <w:sz w:val="32"/>
          <w:szCs w:val="32"/>
          <w:highlight w:val="none"/>
        </w:rPr>
        <w:t>单位、施工配合单位联系工作和施工技术资料使用。严禁签订任</w:t>
      </w:r>
      <w:r>
        <w:rPr>
          <w:rFonts w:ascii="仿宋" w:hAnsi="仿宋" w:eastAsia="仿宋" w:cs="仿宋"/>
          <w:color w:val="auto"/>
          <w:spacing w:val="5"/>
          <w:sz w:val="32"/>
          <w:szCs w:val="32"/>
          <w:highlight w:val="none"/>
        </w:rPr>
        <w:t xml:space="preserve"> </w:t>
      </w:r>
      <w:r>
        <w:rPr>
          <w:rFonts w:ascii="仿宋" w:hAnsi="仿宋" w:eastAsia="仿宋" w:cs="仿宋"/>
          <w:color w:val="auto"/>
          <w:spacing w:val="-4"/>
          <w:sz w:val="32"/>
          <w:szCs w:val="32"/>
          <w:highlight w:val="none"/>
        </w:rPr>
        <w:t>何经济契约，严禁出具任何性质欠条及担保资料，严禁开具工程</w:t>
      </w:r>
    </w:p>
    <w:p>
      <w:pPr>
        <w:spacing w:before="1" w:line="221" w:lineRule="auto"/>
        <w:rPr>
          <w:rFonts w:ascii="仿宋" w:hAnsi="仿宋" w:eastAsia="仿宋" w:cs="仿宋"/>
          <w:color w:val="auto"/>
          <w:sz w:val="32"/>
          <w:szCs w:val="32"/>
          <w:highlight w:val="none"/>
        </w:rPr>
      </w:pPr>
      <w:r>
        <w:rPr>
          <w:rFonts w:ascii="仿宋" w:hAnsi="仿宋" w:eastAsia="仿宋" w:cs="仿宋"/>
          <w:color w:val="auto"/>
          <w:spacing w:val="-9"/>
          <w:sz w:val="32"/>
          <w:szCs w:val="32"/>
          <w:highlight w:val="none"/>
        </w:rPr>
        <w:t>量结算凭证。严禁使用范围包括但不限于以下情形：</w:t>
      </w:r>
    </w:p>
    <w:p>
      <w:pPr>
        <w:spacing w:before="204" w:line="341" w:lineRule="auto"/>
        <w:ind w:right="60" w:firstLine="620"/>
        <w:rPr>
          <w:rFonts w:ascii="仿宋" w:hAnsi="仿宋" w:eastAsia="仿宋" w:cs="仿宋"/>
          <w:color w:val="auto"/>
          <w:sz w:val="32"/>
          <w:szCs w:val="32"/>
          <w:highlight w:val="none"/>
        </w:rPr>
      </w:pPr>
      <w:r>
        <w:rPr>
          <w:rFonts w:ascii="仿宋" w:hAnsi="仿宋" w:eastAsia="仿宋" w:cs="仿宋"/>
          <w:color w:val="auto"/>
          <w:spacing w:val="-8"/>
          <w:sz w:val="32"/>
          <w:szCs w:val="32"/>
          <w:highlight w:val="none"/>
        </w:rPr>
        <w:t>1.</w:t>
      </w:r>
      <w:r>
        <w:rPr>
          <w:rFonts w:ascii="仿宋" w:hAnsi="仿宋" w:eastAsia="仿宋" w:cs="仿宋"/>
          <w:color w:val="auto"/>
          <w:spacing w:val="-26"/>
          <w:sz w:val="32"/>
          <w:szCs w:val="32"/>
          <w:highlight w:val="none"/>
        </w:rPr>
        <w:t xml:space="preserve"> </w:t>
      </w:r>
      <w:r>
        <w:rPr>
          <w:rFonts w:ascii="仿宋" w:hAnsi="仿宋" w:eastAsia="仿宋" w:cs="仿宋"/>
          <w:color w:val="auto"/>
          <w:spacing w:val="-8"/>
          <w:sz w:val="32"/>
          <w:szCs w:val="32"/>
          <w:highlight w:val="none"/>
        </w:rPr>
        <w:t>不得用于工程合同、分包合同、买卖合同、租</w:t>
      </w:r>
      <w:r>
        <w:rPr>
          <w:rFonts w:ascii="仿宋" w:hAnsi="仿宋" w:eastAsia="仿宋" w:cs="仿宋"/>
          <w:color w:val="auto"/>
          <w:spacing w:val="-9"/>
          <w:sz w:val="32"/>
          <w:szCs w:val="32"/>
          <w:highlight w:val="none"/>
        </w:rPr>
        <w:t>赁合同、运</w:t>
      </w:r>
      <w:r>
        <w:rPr>
          <w:rFonts w:ascii="仿宋" w:hAnsi="仿宋" w:eastAsia="仿宋" w:cs="仿宋"/>
          <w:color w:val="auto"/>
          <w:sz w:val="32"/>
          <w:szCs w:val="32"/>
          <w:highlight w:val="none"/>
        </w:rPr>
        <w:t xml:space="preserve"> </w:t>
      </w:r>
      <w:r>
        <w:rPr>
          <w:rFonts w:ascii="仿宋" w:hAnsi="仿宋" w:eastAsia="仿宋" w:cs="仿宋"/>
          <w:color w:val="auto"/>
          <w:spacing w:val="-12"/>
          <w:sz w:val="32"/>
          <w:szCs w:val="32"/>
          <w:highlight w:val="none"/>
        </w:rPr>
        <w:t>输合同、备案合同、担保合同、聘用合同等各类合同及补充协</w:t>
      </w:r>
      <w:r>
        <w:rPr>
          <w:rFonts w:ascii="仿宋" w:hAnsi="仿宋" w:eastAsia="仿宋" w:cs="仿宋"/>
          <w:color w:val="auto"/>
          <w:spacing w:val="-13"/>
          <w:sz w:val="32"/>
          <w:szCs w:val="32"/>
          <w:highlight w:val="none"/>
        </w:rPr>
        <w:t>议；</w:t>
      </w:r>
      <w:r>
        <w:rPr>
          <w:rFonts w:ascii="仿宋" w:hAnsi="仿宋" w:eastAsia="仿宋" w:cs="仿宋"/>
          <w:color w:val="auto"/>
          <w:sz w:val="32"/>
          <w:szCs w:val="32"/>
          <w:highlight w:val="none"/>
        </w:rPr>
        <w:t xml:space="preserve"> </w:t>
      </w:r>
      <w:r>
        <w:rPr>
          <w:rFonts w:ascii="仿宋" w:hAnsi="仿宋" w:eastAsia="仿宋" w:cs="仿宋"/>
          <w:color w:val="auto"/>
          <w:spacing w:val="-14"/>
          <w:sz w:val="32"/>
          <w:szCs w:val="32"/>
          <w:highlight w:val="none"/>
        </w:rPr>
        <w:t>也不得在此类合同的见证、担保方栏加盖印章，即使加</w:t>
      </w:r>
      <w:r>
        <w:rPr>
          <w:rFonts w:ascii="仿宋" w:hAnsi="仿宋" w:eastAsia="仿宋" w:cs="仿宋"/>
          <w:color w:val="auto"/>
          <w:spacing w:val="-15"/>
          <w:sz w:val="32"/>
          <w:szCs w:val="32"/>
          <w:highlight w:val="none"/>
        </w:rPr>
        <w:t>盖也不发生</w:t>
      </w:r>
    </w:p>
    <w:p>
      <w:pPr>
        <w:spacing w:line="222" w:lineRule="auto"/>
        <w:rPr>
          <w:rFonts w:ascii="仿宋" w:hAnsi="仿宋" w:eastAsia="仿宋" w:cs="仿宋"/>
          <w:color w:val="auto"/>
          <w:sz w:val="32"/>
          <w:szCs w:val="32"/>
          <w:highlight w:val="none"/>
        </w:rPr>
      </w:pPr>
      <w:r>
        <w:rPr>
          <w:rFonts w:ascii="仿宋" w:hAnsi="仿宋" w:eastAsia="仿宋" w:cs="仿宋"/>
          <w:color w:val="auto"/>
          <w:spacing w:val="-12"/>
          <w:sz w:val="32"/>
          <w:szCs w:val="32"/>
          <w:highlight w:val="none"/>
        </w:rPr>
        <w:t>法律效力。</w:t>
      </w:r>
    </w:p>
    <w:p>
      <w:pPr>
        <w:spacing w:before="203" w:line="592" w:lineRule="exact"/>
        <w:ind w:left="620"/>
        <w:rPr>
          <w:rFonts w:ascii="仿宋" w:hAnsi="仿宋" w:eastAsia="仿宋" w:cs="仿宋"/>
          <w:color w:val="auto"/>
          <w:sz w:val="32"/>
          <w:szCs w:val="32"/>
          <w:highlight w:val="none"/>
        </w:rPr>
      </w:pPr>
      <w:r>
        <w:rPr>
          <w:rFonts w:ascii="仿宋" w:hAnsi="仿宋" w:eastAsia="仿宋" w:cs="仿宋"/>
          <w:color w:val="auto"/>
          <w:spacing w:val="-7"/>
          <w:position w:val="20"/>
          <w:sz w:val="32"/>
          <w:szCs w:val="32"/>
          <w:highlight w:val="none"/>
        </w:rPr>
        <w:t>2.</w:t>
      </w:r>
      <w:r>
        <w:rPr>
          <w:rFonts w:ascii="仿宋" w:hAnsi="仿宋" w:eastAsia="仿宋" w:cs="仿宋"/>
          <w:color w:val="auto"/>
          <w:spacing w:val="-46"/>
          <w:position w:val="20"/>
          <w:sz w:val="32"/>
          <w:szCs w:val="32"/>
          <w:highlight w:val="none"/>
        </w:rPr>
        <w:t xml:space="preserve"> </w:t>
      </w:r>
      <w:r>
        <w:rPr>
          <w:rFonts w:ascii="仿宋" w:hAnsi="仿宋" w:eastAsia="仿宋" w:cs="仿宋"/>
          <w:color w:val="auto"/>
          <w:spacing w:val="-7"/>
          <w:position w:val="20"/>
          <w:sz w:val="32"/>
          <w:szCs w:val="32"/>
          <w:highlight w:val="none"/>
        </w:rPr>
        <w:t>不得用于各项结算报告、对账单等结算文件</w:t>
      </w:r>
      <w:r>
        <w:rPr>
          <w:rFonts w:ascii="仿宋" w:hAnsi="仿宋" w:eastAsia="仿宋" w:cs="仿宋"/>
          <w:color w:val="auto"/>
          <w:spacing w:val="-8"/>
          <w:position w:val="20"/>
          <w:sz w:val="32"/>
          <w:szCs w:val="32"/>
          <w:highlight w:val="none"/>
        </w:rPr>
        <w:t>，即使加盖也</w:t>
      </w:r>
    </w:p>
    <w:p>
      <w:pPr>
        <w:spacing w:before="1" w:line="222" w:lineRule="auto"/>
        <w:rPr>
          <w:rFonts w:ascii="仿宋" w:hAnsi="仿宋" w:eastAsia="仿宋" w:cs="仿宋"/>
          <w:color w:val="auto"/>
          <w:sz w:val="32"/>
          <w:szCs w:val="32"/>
          <w:highlight w:val="none"/>
        </w:rPr>
      </w:pPr>
      <w:r>
        <w:rPr>
          <w:rFonts w:ascii="仿宋" w:hAnsi="仿宋" w:eastAsia="仿宋" w:cs="仿宋"/>
          <w:color w:val="auto"/>
          <w:spacing w:val="-11"/>
          <w:sz w:val="32"/>
          <w:szCs w:val="32"/>
          <w:highlight w:val="none"/>
        </w:rPr>
        <w:t>不发生法律效力。</w:t>
      </w:r>
    </w:p>
    <w:p>
      <w:pPr>
        <w:spacing w:before="104" w:line="341" w:lineRule="auto"/>
        <w:ind w:right="120" w:firstLine="759"/>
        <w:rPr>
          <w:rFonts w:hint="eastAsia" w:ascii="仿宋" w:hAnsi="仿宋" w:eastAsia="仿宋" w:cs="仿宋"/>
          <w:color w:val="auto"/>
          <w:spacing w:val="4"/>
          <w:sz w:val="32"/>
          <w:szCs w:val="32"/>
          <w:highlight w:val="none"/>
        </w:rPr>
      </w:pPr>
      <w:r>
        <w:rPr>
          <w:rFonts w:hint="eastAsia" w:ascii="仿宋" w:hAnsi="仿宋" w:eastAsia="仿宋" w:cs="仿宋"/>
          <w:color w:val="auto"/>
          <w:spacing w:val="4"/>
          <w:sz w:val="32"/>
          <w:szCs w:val="32"/>
          <w:highlight w:val="none"/>
        </w:rPr>
        <w:t>3. 不得用于第三方签订的合同证明类材料中盖印，如分包单位自行签订的采购合同，项目部不得在与此合同对应的送货小票、送货清单等文件资料上签字或盖章，即使签字或加盖印章也不发生法律效力。</w:t>
      </w:r>
    </w:p>
    <w:p>
      <w:pPr>
        <w:spacing w:before="104" w:line="341" w:lineRule="auto"/>
        <w:ind w:right="120" w:firstLine="759"/>
        <w:rPr>
          <w:rFonts w:hint="eastAsia" w:ascii="仿宋" w:hAnsi="仿宋" w:eastAsia="仿宋" w:cs="仿宋"/>
          <w:color w:val="auto"/>
          <w:spacing w:val="4"/>
          <w:sz w:val="32"/>
          <w:szCs w:val="32"/>
          <w:highlight w:val="none"/>
        </w:rPr>
      </w:pPr>
      <w:r>
        <w:rPr>
          <w:rFonts w:hint="eastAsia" w:ascii="仿宋" w:hAnsi="仿宋" w:eastAsia="仿宋" w:cs="仿宋"/>
          <w:color w:val="auto"/>
          <w:spacing w:val="4"/>
          <w:sz w:val="32"/>
          <w:szCs w:val="32"/>
          <w:highlight w:val="none"/>
        </w:rPr>
        <w:t>4. 不得用于其他能够产生债权债务或者责任承担的确认权利义务等书面材料，即使加盖也不发生法律效力。</w:t>
      </w:r>
    </w:p>
    <w:p>
      <w:pPr>
        <w:spacing w:before="104" w:line="341" w:lineRule="auto"/>
        <w:ind w:right="120" w:firstLine="759"/>
        <w:rPr>
          <w:rFonts w:hint="eastAsia" w:ascii="仿宋" w:hAnsi="仿宋" w:eastAsia="仿宋" w:cs="仿宋"/>
          <w:color w:val="auto"/>
          <w:spacing w:val="4"/>
          <w:sz w:val="32"/>
          <w:szCs w:val="32"/>
          <w:highlight w:val="none"/>
        </w:rPr>
      </w:pPr>
      <w:r>
        <w:rPr>
          <w:rFonts w:hint="eastAsia" w:ascii="仿宋" w:hAnsi="仿宋" w:eastAsia="仿宋" w:cs="仿宋"/>
          <w:color w:val="auto"/>
          <w:spacing w:val="4"/>
          <w:sz w:val="32"/>
          <w:szCs w:val="32"/>
          <w:highlight w:val="none"/>
        </w:rPr>
        <w:t>任何单位或个人需要办理合同(协议)、结算等经济性业务，均需要严格按照我公司相关审批流程办理。</w:t>
      </w:r>
    </w:p>
    <w:p>
      <w:pPr>
        <w:spacing w:before="182" w:line="221" w:lineRule="auto"/>
        <w:ind w:left="614"/>
        <w:outlineLvl w:val="0"/>
        <w:rPr>
          <w:rFonts w:ascii="黑体" w:hAnsi="黑体" w:eastAsia="黑体" w:cs="黑体"/>
          <w:color w:val="auto"/>
          <w:sz w:val="32"/>
          <w:szCs w:val="32"/>
          <w:highlight w:val="none"/>
        </w:rPr>
      </w:pPr>
      <w:r>
        <w:rPr>
          <w:rFonts w:ascii="黑体" w:hAnsi="黑体" w:eastAsia="黑体" w:cs="黑体"/>
          <w:b/>
          <w:bCs/>
          <w:color w:val="auto"/>
          <w:spacing w:val="-11"/>
          <w:sz w:val="32"/>
          <w:szCs w:val="32"/>
          <w:highlight w:val="none"/>
        </w:rPr>
        <w:t>三、</w:t>
      </w:r>
      <w:r>
        <w:rPr>
          <w:rFonts w:ascii="黑体" w:hAnsi="黑体" w:eastAsia="黑体" w:cs="黑体"/>
          <w:color w:val="auto"/>
          <w:spacing w:val="-86"/>
          <w:sz w:val="32"/>
          <w:szCs w:val="32"/>
          <w:highlight w:val="none"/>
        </w:rPr>
        <w:t xml:space="preserve"> </w:t>
      </w:r>
      <w:r>
        <w:rPr>
          <w:rFonts w:ascii="黑体" w:hAnsi="黑体" w:eastAsia="黑体" w:cs="黑体"/>
          <w:b/>
          <w:bCs/>
          <w:color w:val="auto"/>
          <w:spacing w:val="-11"/>
          <w:sz w:val="32"/>
          <w:szCs w:val="32"/>
          <w:highlight w:val="none"/>
        </w:rPr>
        <w:t>农民工等人员劳动合同关系</w:t>
      </w:r>
    </w:p>
    <w:p>
      <w:pPr>
        <w:spacing w:before="215" w:line="341" w:lineRule="auto"/>
        <w:ind w:right="87" w:firstLine="610"/>
        <w:jc w:val="both"/>
        <w:rPr>
          <w:rFonts w:ascii="仿宋" w:hAnsi="仿宋" w:eastAsia="仿宋" w:cs="仿宋"/>
          <w:color w:val="auto"/>
          <w:sz w:val="32"/>
          <w:szCs w:val="32"/>
          <w:highlight w:val="none"/>
        </w:rPr>
      </w:pPr>
      <w:r>
        <w:rPr>
          <w:rFonts w:ascii="仿宋" w:hAnsi="仿宋" w:eastAsia="仿宋" w:cs="仿宋"/>
          <w:color w:val="auto"/>
          <w:spacing w:val="1"/>
          <w:sz w:val="32"/>
          <w:szCs w:val="32"/>
          <w:highlight w:val="none"/>
        </w:rPr>
        <w:t>本工程项目不存在由项目部或者个人单独聘用农民工(临时</w:t>
      </w:r>
      <w:r>
        <w:rPr>
          <w:rFonts w:ascii="仿宋" w:hAnsi="仿宋" w:eastAsia="仿宋" w:cs="仿宋"/>
          <w:color w:val="auto"/>
          <w:spacing w:val="13"/>
          <w:sz w:val="32"/>
          <w:szCs w:val="32"/>
          <w:highlight w:val="none"/>
        </w:rPr>
        <w:t xml:space="preserve"> </w:t>
      </w:r>
      <w:r>
        <w:rPr>
          <w:rFonts w:ascii="仿宋" w:hAnsi="仿宋" w:eastAsia="仿宋" w:cs="仿宋"/>
          <w:color w:val="auto"/>
          <w:spacing w:val="1"/>
          <w:sz w:val="32"/>
          <w:szCs w:val="32"/>
          <w:highlight w:val="none"/>
        </w:rPr>
        <w:t>工、驾驶员)情形，专业分包单位、劳务分包单位、相关供应商</w:t>
      </w:r>
      <w:r>
        <w:rPr>
          <w:rFonts w:ascii="仿宋" w:hAnsi="仿宋" w:eastAsia="仿宋" w:cs="仿宋"/>
          <w:color w:val="auto"/>
          <w:spacing w:val="5"/>
          <w:sz w:val="32"/>
          <w:szCs w:val="32"/>
          <w:highlight w:val="none"/>
        </w:rPr>
        <w:t xml:space="preserve"> </w:t>
      </w:r>
      <w:r>
        <w:rPr>
          <w:rFonts w:ascii="仿宋" w:hAnsi="仿宋" w:eastAsia="仿宋" w:cs="仿宋"/>
          <w:color w:val="auto"/>
          <w:spacing w:val="-4"/>
          <w:sz w:val="32"/>
          <w:szCs w:val="32"/>
          <w:highlight w:val="none"/>
        </w:rPr>
        <w:t>及个人聘请的农民工、临时工、驾驶员等人员，均</w:t>
      </w:r>
      <w:r>
        <w:rPr>
          <w:rFonts w:ascii="仿宋" w:hAnsi="仿宋" w:eastAsia="仿宋" w:cs="仿宋"/>
          <w:color w:val="auto"/>
          <w:spacing w:val="-5"/>
          <w:sz w:val="32"/>
          <w:szCs w:val="32"/>
          <w:highlight w:val="none"/>
        </w:rPr>
        <w:t>与我公司没有</w:t>
      </w:r>
      <w:r>
        <w:rPr>
          <w:rFonts w:ascii="仿宋" w:hAnsi="仿宋" w:eastAsia="仿宋" w:cs="仿宋"/>
          <w:color w:val="auto"/>
          <w:sz w:val="32"/>
          <w:szCs w:val="32"/>
          <w:highlight w:val="none"/>
        </w:rPr>
        <w:t xml:space="preserve"> </w:t>
      </w:r>
      <w:r>
        <w:rPr>
          <w:rFonts w:ascii="仿宋" w:hAnsi="仿宋" w:eastAsia="仿宋" w:cs="仿宋"/>
          <w:color w:val="auto"/>
          <w:spacing w:val="-4"/>
          <w:sz w:val="32"/>
          <w:szCs w:val="32"/>
          <w:highlight w:val="none"/>
        </w:rPr>
        <w:t>劳动合同(事实劳动关系)、劳务关系，相关经</w:t>
      </w:r>
      <w:r>
        <w:rPr>
          <w:rFonts w:ascii="仿宋" w:hAnsi="仿宋" w:eastAsia="仿宋" w:cs="仿宋"/>
          <w:color w:val="auto"/>
          <w:spacing w:val="-5"/>
          <w:sz w:val="32"/>
          <w:szCs w:val="32"/>
          <w:highlight w:val="none"/>
        </w:rPr>
        <w:t>济、法律责任由其</w:t>
      </w:r>
    </w:p>
    <w:p>
      <w:pPr>
        <w:spacing w:before="2" w:line="220" w:lineRule="auto"/>
        <w:rPr>
          <w:rFonts w:ascii="仿宋" w:hAnsi="仿宋" w:eastAsia="仿宋" w:cs="仿宋"/>
          <w:color w:val="auto"/>
          <w:sz w:val="32"/>
          <w:szCs w:val="32"/>
          <w:highlight w:val="none"/>
        </w:rPr>
      </w:pPr>
      <w:r>
        <w:rPr>
          <w:rFonts w:ascii="仿宋" w:hAnsi="仿宋" w:eastAsia="仿宋" w:cs="仿宋"/>
          <w:color w:val="auto"/>
          <w:spacing w:val="13"/>
          <w:sz w:val="32"/>
          <w:szCs w:val="32"/>
          <w:highlight w:val="none"/>
        </w:rPr>
        <w:t>或聘用单位(个人)自行承担。</w:t>
      </w:r>
    </w:p>
    <w:p>
      <w:pPr>
        <w:spacing w:before="205" w:line="341" w:lineRule="auto"/>
        <w:ind w:right="71" w:firstLine="610"/>
        <w:jc w:val="both"/>
        <w:rPr>
          <w:rFonts w:ascii="仿宋" w:hAnsi="仿宋" w:eastAsia="仿宋" w:cs="仿宋"/>
          <w:color w:val="auto"/>
          <w:sz w:val="32"/>
          <w:szCs w:val="32"/>
          <w:highlight w:val="none"/>
        </w:rPr>
      </w:pPr>
      <w:r>
        <w:rPr>
          <w:rFonts w:ascii="仿宋" w:hAnsi="仿宋" w:eastAsia="仿宋" w:cs="仿宋"/>
          <w:color w:val="auto"/>
          <w:spacing w:val="2"/>
          <w:sz w:val="32"/>
          <w:szCs w:val="32"/>
          <w:highlight w:val="none"/>
        </w:rPr>
        <w:t>单位/个人已充分知晓并完全理解本告知书的全部内容，将</w:t>
      </w:r>
      <w:r>
        <w:rPr>
          <w:rFonts w:ascii="仿宋" w:hAnsi="仿宋" w:eastAsia="仿宋" w:cs="仿宋"/>
          <w:color w:val="auto"/>
          <w:spacing w:val="10"/>
          <w:sz w:val="32"/>
          <w:szCs w:val="32"/>
          <w:highlight w:val="none"/>
        </w:rPr>
        <w:t xml:space="preserve"> </w:t>
      </w:r>
      <w:r>
        <w:rPr>
          <w:rFonts w:ascii="仿宋" w:hAnsi="仿宋" w:eastAsia="仿宋" w:cs="仿宋"/>
          <w:color w:val="auto"/>
          <w:spacing w:val="-4"/>
          <w:sz w:val="32"/>
          <w:szCs w:val="32"/>
          <w:highlight w:val="none"/>
        </w:rPr>
        <w:t>主动遵守告知书的内容，因违反告知书导致的不利法律后果将由</w:t>
      </w:r>
    </w:p>
    <w:p>
      <w:pPr>
        <w:spacing w:before="1" w:line="220" w:lineRule="auto"/>
        <w:rPr>
          <w:rFonts w:ascii="仿宋" w:hAnsi="仿宋" w:eastAsia="仿宋" w:cs="仿宋"/>
          <w:color w:val="auto"/>
          <w:sz w:val="32"/>
          <w:szCs w:val="32"/>
          <w:highlight w:val="none"/>
        </w:rPr>
      </w:pPr>
      <w:r>
        <w:rPr>
          <w:rFonts w:ascii="仿宋" w:hAnsi="仿宋" w:eastAsia="仿宋" w:cs="仿宋"/>
          <w:color w:val="auto"/>
          <w:spacing w:val="-10"/>
          <w:sz w:val="32"/>
          <w:szCs w:val="32"/>
          <w:highlight w:val="none"/>
        </w:rPr>
        <w:t>我单位/个人自行承担。</w:t>
      </w:r>
    </w:p>
    <w:p>
      <w:pPr>
        <w:spacing w:line="344" w:lineRule="auto"/>
        <w:rPr>
          <w:rFonts w:ascii="Arial"/>
          <w:color w:val="auto"/>
          <w:sz w:val="21"/>
          <w:highlight w:val="none"/>
        </w:rPr>
      </w:pPr>
    </w:p>
    <w:p>
      <w:pPr>
        <w:spacing w:before="105" w:line="221" w:lineRule="auto"/>
        <w:ind w:left="610"/>
        <w:jc w:val="right"/>
        <w:rPr>
          <w:rFonts w:ascii="仿宋" w:hAnsi="仿宋" w:eastAsia="仿宋" w:cs="仿宋"/>
          <w:color w:val="auto"/>
          <w:sz w:val="32"/>
          <w:szCs w:val="32"/>
          <w:highlight w:val="none"/>
        </w:rPr>
      </w:pPr>
      <w:r>
        <w:rPr>
          <w:rFonts w:ascii="仿宋" w:hAnsi="仿宋" w:eastAsia="仿宋" w:cs="仿宋"/>
          <w:color w:val="auto"/>
          <w:spacing w:val="-15"/>
          <w:sz w:val="32"/>
          <w:szCs w:val="32"/>
          <w:highlight w:val="none"/>
        </w:rPr>
        <w:t>告知单位：</w:t>
      </w:r>
      <w:r>
        <w:rPr>
          <w:rFonts w:hint="eastAsia" w:ascii="仿宋" w:hAnsi="仿宋" w:eastAsia="仿宋" w:cs="仿宋"/>
          <w:color w:val="auto"/>
          <w:spacing w:val="-15"/>
          <w:sz w:val="32"/>
          <w:szCs w:val="32"/>
          <w:highlight w:val="none"/>
        </w:rPr>
        <w:t>云南建投第十建设有限公司绥江分公司</w:t>
      </w:r>
    </w:p>
    <w:p>
      <w:pPr>
        <w:spacing w:before="217" w:line="221" w:lineRule="auto"/>
        <w:ind w:left="610" w:firstLine="2028" w:firstLineChars="600"/>
        <w:jc w:val="both"/>
        <w:rPr>
          <w:rFonts w:ascii="仿宋" w:hAnsi="仿宋" w:eastAsia="仿宋" w:cs="仿宋"/>
          <w:color w:val="auto"/>
          <w:sz w:val="32"/>
          <w:szCs w:val="32"/>
          <w:highlight w:val="none"/>
        </w:rPr>
      </w:pPr>
      <w:r>
        <w:rPr>
          <w:rFonts w:ascii="仿宋" w:hAnsi="仿宋" w:eastAsia="仿宋" w:cs="仿宋"/>
          <w:color w:val="auto"/>
          <w:spacing w:val="9"/>
          <w:sz w:val="32"/>
          <w:szCs w:val="32"/>
          <w:highlight w:val="none"/>
        </w:rPr>
        <w:t>知悉单位/个人(签章):</w:t>
      </w:r>
    </w:p>
    <w:p>
      <w:pPr>
        <w:spacing w:line="255" w:lineRule="auto"/>
        <w:rPr>
          <w:rFonts w:ascii="Arial"/>
          <w:color w:val="auto"/>
          <w:sz w:val="21"/>
          <w:highlight w:val="none"/>
        </w:rPr>
      </w:pPr>
    </w:p>
    <w:p>
      <w:pPr>
        <w:spacing w:line="255" w:lineRule="auto"/>
        <w:rPr>
          <w:rFonts w:ascii="Arial"/>
          <w:color w:val="auto"/>
          <w:sz w:val="21"/>
          <w:highlight w:val="none"/>
        </w:rPr>
      </w:pPr>
    </w:p>
    <w:p>
      <w:pPr>
        <w:spacing w:line="256" w:lineRule="auto"/>
        <w:rPr>
          <w:rFonts w:ascii="Arial"/>
          <w:color w:val="auto"/>
          <w:sz w:val="21"/>
          <w:highlight w:val="none"/>
        </w:rPr>
      </w:pPr>
    </w:p>
    <w:p>
      <w:pPr>
        <w:spacing w:line="256" w:lineRule="auto"/>
        <w:rPr>
          <w:rFonts w:ascii="Arial"/>
          <w:color w:val="auto"/>
          <w:sz w:val="21"/>
          <w:highlight w:val="none"/>
        </w:rPr>
      </w:pPr>
    </w:p>
    <w:p>
      <w:pPr>
        <w:spacing w:line="256" w:lineRule="auto"/>
        <w:rPr>
          <w:rFonts w:ascii="Arial"/>
          <w:color w:val="auto"/>
          <w:sz w:val="21"/>
          <w:highlight w:val="none"/>
        </w:rPr>
      </w:pPr>
    </w:p>
    <w:p>
      <w:pPr>
        <w:spacing w:before="104" w:line="222" w:lineRule="auto"/>
        <w:ind w:left="5389"/>
        <w:rPr>
          <w:rFonts w:hint="eastAsia" w:eastAsia="仿宋"/>
          <w:color w:val="auto"/>
          <w:highlight w:val="none"/>
          <w:lang w:val="en-US" w:eastAsia="zh-CN"/>
        </w:rPr>
        <w:sectPr>
          <w:footerReference r:id="rId23" w:type="default"/>
          <w:pgSz w:w="11910" w:h="16840"/>
          <w:pgMar w:top="1431" w:right="1389" w:bottom="1682" w:left="1589" w:header="0" w:footer="1367" w:gutter="0"/>
          <w:pgBorders>
            <w:top w:val="none" w:sz="0" w:space="0"/>
            <w:left w:val="none" w:sz="0" w:space="0"/>
            <w:bottom w:val="none" w:sz="0" w:space="0"/>
            <w:right w:val="none" w:sz="0" w:space="0"/>
          </w:pgBorders>
          <w:pgNumType w:fmt="decimal"/>
          <w:cols w:space="720" w:num="1"/>
        </w:sectPr>
      </w:pPr>
      <w:r>
        <w:rPr>
          <w:rFonts w:ascii="仿宋" w:hAnsi="仿宋" w:eastAsia="仿宋" w:cs="仿宋"/>
          <w:color w:val="auto"/>
          <w:spacing w:val="-22"/>
          <w:sz w:val="32"/>
          <w:szCs w:val="32"/>
          <w:highlight w:val="none"/>
        </w:rPr>
        <w:t>年</w:t>
      </w:r>
      <w:r>
        <w:rPr>
          <w:rFonts w:ascii="仿宋" w:hAnsi="仿宋" w:eastAsia="仿宋" w:cs="仿宋"/>
          <w:color w:val="auto"/>
          <w:spacing w:val="2"/>
          <w:sz w:val="32"/>
          <w:szCs w:val="32"/>
          <w:highlight w:val="none"/>
        </w:rPr>
        <w:t xml:space="preserve">    </w:t>
      </w:r>
      <w:r>
        <w:rPr>
          <w:rFonts w:ascii="仿宋" w:hAnsi="仿宋" w:eastAsia="仿宋" w:cs="仿宋"/>
          <w:color w:val="auto"/>
          <w:spacing w:val="-22"/>
          <w:sz w:val="32"/>
          <w:szCs w:val="32"/>
          <w:highlight w:val="none"/>
        </w:rPr>
        <w:t>月</w:t>
      </w:r>
      <w:r>
        <w:rPr>
          <w:rFonts w:ascii="仿宋" w:hAnsi="仿宋" w:eastAsia="仿宋" w:cs="仿宋"/>
          <w:color w:val="auto"/>
          <w:spacing w:val="1"/>
          <w:sz w:val="32"/>
          <w:szCs w:val="32"/>
          <w:highlight w:val="none"/>
        </w:rPr>
        <w:t xml:space="preserve">    </w:t>
      </w:r>
      <w:r>
        <w:rPr>
          <w:rFonts w:hint="eastAsia" w:ascii="仿宋" w:hAnsi="仿宋" w:eastAsia="仿宋" w:cs="仿宋"/>
          <w:color w:val="auto"/>
          <w:spacing w:val="1"/>
          <w:sz w:val="32"/>
          <w:szCs w:val="32"/>
          <w:highlight w:val="none"/>
          <w:lang w:val="en-US" w:eastAsia="zh-CN"/>
        </w:rPr>
        <w:t>日</w:t>
      </w:r>
    </w:p>
    <w:p>
      <w:pPr>
        <w:pStyle w:val="19"/>
        <w:keepNext w:val="0"/>
        <w:keepLines w:val="0"/>
        <w:pageBreakBefore w:val="0"/>
        <w:widowControl w:val="0"/>
        <w:kinsoku/>
        <w:wordWrap/>
        <w:overflowPunct/>
        <w:topLinePunct w:val="0"/>
        <w:autoSpaceDE/>
        <w:autoSpaceDN/>
        <w:bidi w:val="0"/>
        <w:adjustRightInd/>
        <w:snapToGrid/>
        <w:spacing w:line="960" w:lineRule="auto"/>
        <w:ind w:left="0" w:leftChars="0" w:firstLine="0" w:firstLineChars="0"/>
        <w:textAlignment w:val="auto"/>
        <w:rPr>
          <w:rFonts w:hint="eastAsia"/>
          <w:color w:val="auto"/>
          <w:sz w:val="24"/>
          <w:szCs w:val="24"/>
          <w:highlight w:val="none"/>
        </w:rPr>
      </w:pPr>
    </w:p>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Wingdings 2">
    <w:panose1 w:val="050201020105070707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2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wrap="none" lIns="0" tIns="0" rIns="0" bIns="0" upright="0">
                      <a:spAutoFit/>
                    </wps:bodyPr>
                  </wps:wsp>
                </a:graphicData>
              </a:graphic>
            </wp:anchor>
          </w:drawing>
        </mc:Choice>
        <mc:Fallback>
          <w:pict>
            <v:rect id="文本框 2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Dy5hxDEAQAAiAMAAA4AAAAAAAAAAQAgAAAAHwEAAGRycy9lMm9Eb2MueG1s&#10;UEsFBgAAAAAGAAYAWQEAAFUFAAA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6"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wrap="none" lIns="0" tIns="0" rIns="0" bIns="0"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0wmSZsMBAACHAwAADgAAAAAAAAABACAAAAAfAQAAZHJzL2Uyb0RvYy54bWxQ&#10;SwUGAAAAAAYABgBZAQAAVAUAA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仿宋_GB2312"/>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7"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e62JH8MBAACHAwAADgAAAAAAAAABACAAAAAfAQAAZHJzL2Uyb0RvYy54bWxQ&#10;SwUGAAAAAAYABgBZAQAAVAUAA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ascii="仿宋_GB2312"/>
        <w:lang w:val="en-US" w:eastAsia="zh-CN"/>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8" name="文本框 3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wrap="none" lIns="0" tIns="0" rIns="0" bIns="0" upright="0">
                      <a:spAutoFit/>
                    </wps:bodyPr>
                  </wps:wsp>
                </a:graphicData>
              </a:graphic>
            </wp:anchor>
          </w:drawing>
        </mc:Choice>
        <mc:Fallback>
          <w:pict>
            <v:rect id="文本框 3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pSYI6sMBAACIAwAADgAAAAAAAAABACAAAAAfAQAAZHJzL2Uyb0RvYy54bWxQ&#10;SwUGAAAAAAYABgBZAQAAVAUAA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rect>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hint="eastAsia" w:ascii="仿宋_GB2312" w:eastAsia="宋体"/>
        <w:lang w:val="en-US" w:eastAsia="zh-CN"/>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ascii="仿宋_GB2312" w:eastAsia="宋体"/>
        <w:lang w:val="en-US" w:eastAsia="zh-CN"/>
      </w:rPr>
    </w:pPr>
    <w:r>
      <w:rPr>
        <w:sz w:val="18"/>
      </w:rP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103</w:t>
                          </w:r>
                          <w:r>
                            <w:rPr>
                              <w:rFonts w:hint="eastAsia"/>
                              <w:lang w:eastAsia="zh-CN"/>
                            </w:rPr>
                            <w:fldChar w:fldCharType="end"/>
                          </w:r>
                        </w:p>
                      </w:txbxContent>
                    </wps:txbx>
                    <wps:bodyPr wrap="none" lIns="0" tIns="0" rIns="0" bIns="0" upright="0">
                      <a:spAutoFit/>
                    </wps:bodyPr>
                  </wps:wsp>
                </a:graphicData>
              </a:graphic>
            </wp:anchor>
          </w:drawing>
        </mc:Choice>
        <mc:Fallback>
          <w:pict>
            <v:rect id="文本框 29"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XW5UtAAAAAFAQAADwAAAAAAAAABACAAAAAiAAAAZHJzL2Rvd25yZXYueG1sUEsBAhQA&#10;FAAAAAgAh07iQO/5A1TBAQAAhQMAAA4AAAAAAAAAAQAgAAAAHwEAAGRycy9lMm9Eb2MueG1sUEsF&#10;BgAAAAAGAAYAWQEAAFIFAAA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103</w:t>
                    </w:r>
                    <w:r>
                      <w:rPr>
                        <w:rFonts w:hint="eastAsia"/>
                        <w:lang w:eastAsia="zh-CN"/>
                      </w:rPr>
                      <w:fldChar w:fldCharType="end"/>
                    </w:r>
                  </w:p>
                </w:txbxContent>
              </v:textbox>
            </v:rect>
          </w:pict>
        </mc:Fallback>
      </mc:AlternateContent>
    </w:r>
    <w:r>
      <w:rPr>
        <w:rFonts w:hint="eastAsia" w:ascii="仿宋_GB2312"/>
        <w:lang w:val="en-US" w:eastAsia="zh-CN"/>
      </w:rPr>
      <w:t>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仿宋_GB2312"/>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0"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A3rlr5wgEAAIcDAAAOAAAAAAAAAAEAIAAAAB8BAABkcnMvZTJvRG9jLnhtbFBL&#10;BQYAAAAABgAGAFkBAABTBQAA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rect>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32"/>
        <w:szCs w:val="32"/>
      </w:rPr>
    </w:pPr>
    <w:r>
      <w:rPr>
        <w:sz w:val="3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left="7539"/>
      <w:rPr>
        <w:rFonts w:ascii="宋体" w:hAnsi="宋体" w:eastAsia="宋体" w:cs="宋体"/>
        <w:sz w:val="32"/>
        <w:szCs w:val="32"/>
      </w:rPr>
    </w:pPr>
    <w:r>
      <w:rPr>
        <w:sz w:val="3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sZ3ELcMBAACHAwAADgAAAAAAAAABACAAAAAfAQAAZHJzL2Uyb0RvYy54bWxQ&#10;SwUGAAAAAAYABgBZAQAAVAUAAAAA&#10;">
              <v:fill on="f" focussize="0,0"/>
              <v:stroke on="f"/>
              <v:imagedata o:title=""/>
              <o:lock v:ext="edit" aspectratio="f"/>
              <v:textbox inset="0mm,0mm,0mm,0mm" style="mso-fit-shape-to-text:t;">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upright="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DzVVOvwgEAAIcDAAAOAAAAAAAAAAEAIAAAAB8BAABkcnMvZTJvRG9jLnhtbFBL&#10;BQYAAAAABgAGAFkBAABTBQAAAAA=&#10;">
              <v:fill on="f" focussize="0,0"/>
              <v:stroke on="f"/>
              <v:imagedata o:title=""/>
              <o:lock v:ext="edit" aspectratio="f"/>
              <v:textbox inset="0mm,0mm,0mm,0mm" style="mso-fit-shape-to-text:t;">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仿宋_GB2312"/>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wps:txbx>
                    <wps:bodyPr wrap="none" lIns="0" tIns="0" rIns="0" bIns="0" upright="0">
                      <a:spAutoFit/>
                    </wps:bodyPr>
                  </wps:wsp>
                </a:graphicData>
              </a:graphic>
            </wp:anchor>
          </w:drawing>
        </mc:Choice>
        <mc:Fallback>
          <w:pict>
            <v:rect id="文本框 1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Zz7cL8ABAACFAwAADgAAAAAAAAABACAAAAAfAQAAZHJzL2Uyb0RvYy54bWxQSwUG&#10;AAAAAAYABgBZAQAAUQUAA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3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wrap="none" lIns="0" tIns="0" rIns="0" bIns="0" upright="0">
                      <a:spAutoFit/>
                    </wps:bodyPr>
                  </wps:wsp>
                </a:graphicData>
              </a:graphic>
            </wp:anchor>
          </w:drawing>
        </mc:Choice>
        <mc:Fallback>
          <w:pict>
            <v:rect id="文本框 3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xlb7/xQEAAIgDAAAOAAAAAAAAAAEAIAAAAB8BAABkcnMvZTJvRG9jLnht&#10;bFBLBQYAAAAABgAGAFkBAABWBQAAAAA=&#10;">
              <v:fill on="f" focussize="0,0"/>
              <v:stroke on="f"/>
              <v:imagedata o:title=""/>
              <o:lock v:ext="edit" aspectratio="f"/>
              <v:textbox inset="0mm,0mm,0mm,0mm" style="mso-fit-shape-to-text:t;">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2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upright="0">
                      <a:spAutoFit/>
                    </wps:bodyPr>
                  </wps:wsp>
                </a:graphicData>
              </a:graphic>
            </wp:anchor>
          </w:drawing>
        </mc:Choice>
        <mc:Fallback>
          <w:pict>
            <v:rect id="文本框 2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AQY2IbwgEAAIgDAAAOAAAAAAAAAAEAIAAAAB8BAABkcnMvZTJvRG9jLnhtbFBL&#10;BQYAAAAABgAGAFkBAABTBQAAAAA=&#10;">
              <v:fill on="f" focussize="0,0"/>
              <v:stroke on="f"/>
              <v:imagedata o:title=""/>
              <o:lock v:ext="edit" aspectratio="f"/>
              <v:textbox inset="0mm,0mm,0mm,0mm" style="mso-fit-shape-to-text:t;">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3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wps:txbx>
                    <wps:bodyPr wrap="none" lIns="0" tIns="0" rIns="0" bIns="0" upright="0">
                      <a:spAutoFit/>
                    </wps:bodyPr>
                  </wps:wsp>
                </a:graphicData>
              </a:graphic>
            </wp:anchor>
          </w:drawing>
        </mc:Choice>
        <mc:Fallback>
          <w:pict>
            <v:rect id="文本框 3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AIc4wrEAQAAiAMAAA4AAAAAAAAAAQAgAAAAHwEAAGRycy9lMm9Eb2MueG1s&#10;UEsFBgAAAAAGAAYAWQEAAFUFAAAAAA==&#10;">
              <v:fill on="f" focussize="0,0"/>
              <v:stroke on="f"/>
              <v:imagedata o:title=""/>
              <o:lock v:ext="edit" aspectratio="f"/>
              <v:textbox inset="0mm,0mm,0mm,0mm" style="mso-fit-shape-to-text:t;">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4153"/>
      </w:tabs>
      <w:rPr>
        <w:rFonts w:hint="eastAsia"/>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3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wps:txbx>
                    <wps:bodyPr wrap="none" lIns="0" tIns="0" rIns="0" bIns="0" upright="0">
                      <a:spAutoFit/>
                    </wps:bodyPr>
                  </wps:wsp>
                </a:graphicData>
              </a:graphic>
            </wp:anchor>
          </w:drawing>
        </mc:Choice>
        <mc:Fallback>
          <w:pict>
            <v:rect id="文本框 3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F0/TS7EAQAAiAMAAA4AAAAAAAAAAQAgAAAAHwEAAGRycy9lMm9Eb2MueG1s&#10;UEsFBgAAAAAGAAYAWQEAAFUFAAAAAA==&#10;">
              <v:fill on="f" focussize="0,0"/>
              <v:stroke on="f"/>
              <v:imagedata o:title=""/>
              <o:lock v:ext="edit" aspectratio="f"/>
              <v:textbox inset="0mm,0mm,0mm,0mm" style="mso-fit-shape-to-text:t;">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v:textbox>
            </v:rect>
          </w:pict>
        </mc:Fallback>
      </mc:AlternateContent>
    </w:r>
    <w:r>
      <w:rPr>
        <w:rFonts w:hint="eastAsia"/>
        <w:lang w:eastAsia="zh-CN"/>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仿宋_GB2312"/>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2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rect id="文本框 2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W/JQ08MBAACIAwAADgAAAAAAAAABACAAAAAfAQAAZHJzL2Uyb0RvYy54bWxQ&#10;SwUGAAAAAAYABgBZAQAAVAUAA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059108"/>
    <w:multiLevelType w:val="singleLevel"/>
    <w:tmpl w:val="AA059108"/>
    <w:lvl w:ilvl="0" w:tentative="0">
      <w:start w:val="1"/>
      <w:numFmt w:val="decimal"/>
      <w:suff w:val="nothing"/>
      <w:lvlText w:val="（%1）"/>
      <w:lvlJc w:val="left"/>
    </w:lvl>
  </w:abstractNum>
  <w:abstractNum w:abstractNumId="1">
    <w:nsid w:val="00000000"/>
    <w:multiLevelType w:val="singleLevel"/>
    <w:tmpl w:val="00000000"/>
    <w:lvl w:ilvl="0" w:tentative="0">
      <w:start w:val="1"/>
      <w:numFmt w:val="decimal"/>
      <w:suff w:val="nothing"/>
      <w:lvlText w:val="%1、"/>
      <w:lvlJc w:val="left"/>
    </w:lvl>
  </w:abstractNum>
  <w:abstractNum w:abstractNumId="2">
    <w:nsid w:val="00000001"/>
    <w:multiLevelType w:val="singleLevel"/>
    <w:tmpl w:val="00000001"/>
    <w:lvl w:ilvl="0" w:tentative="0">
      <w:start w:val="1"/>
      <w:numFmt w:val="chineseCounting"/>
      <w:suff w:val="nothing"/>
      <w:lvlText w:val="（%1）"/>
      <w:lvlJc w:val="left"/>
      <w:pPr>
        <w:ind w:left="431" w:firstLine="420"/>
      </w:pPr>
      <w:rPr>
        <w:rFonts w:hint="eastAsia"/>
      </w:rPr>
    </w:lvl>
  </w:abstractNum>
  <w:abstractNum w:abstractNumId="3">
    <w:nsid w:val="00000002"/>
    <w:multiLevelType w:val="singleLevel"/>
    <w:tmpl w:val="00000002"/>
    <w:lvl w:ilvl="0" w:tentative="0">
      <w:start w:val="6"/>
      <w:numFmt w:val="decimal"/>
      <w:lvlText w:val="%1."/>
      <w:lvlJc w:val="left"/>
      <w:pPr>
        <w:tabs>
          <w:tab w:val="left" w:pos="312"/>
        </w:tabs>
      </w:pPr>
    </w:lvl>
  </w:abstractNum>
  <w:abstractNum w:abstractNumId="4">
    <w:nsid w:val="00000003"/>
    <w:multiLevelType w:val="singleLevel"/>
    <w:tmpl w:val="00000003"/>
    <w:lvl w:ilvl="0" w:tentative="0">
      <w:start w:val="1"/>
      <w:numFmt w:val="decimal"/>
      <w:suff w:val="nothing"/>
      <w:lvlText w:val="%1、"/>
      <w:lvlJc w:val="left"/>
      <w:pPr>
        <w:ind w:left="400" w:firstLine="0"/>
      </w:pPr>
    </w:lvl>
  </w:abstractNum>
  <w:abstractNum w:abstractNumId="5">
    <w:nsid w:val="00000005"/>
    <w:multiLevelType w:val="singleLevel"/>
    <w:tmpl w:val="00000005"/>
    <w:lvl w:ilvl="0" w:tentative="0">
      <w:start w:val="1"/>
      <w:numFmt w:val="decimal"/>
      <w:suff w:val="nothing"/>
      <w:lvlText w:val="%1、"/>
      <w:lvlJc w:val="left"/>
    </w:lvl>
  </w:abstractNum>
  <w:abstractNum w:abstractNumId="6">
    <w:nsid w:val="00000006"/>
    <w:multiLevelType w:val="singleLevel"/>
    <w:tmpl w:val="00000006"/>
    <w:lvl w:ilvl="0" w:tentative="0">
      <w:start w:val="4"/>
      <w:numFmt w:val="chineseCounting"/>
      <w:suff w:val="nothing"/>
      <w:lvlText w:val="%1、"/>
      <w:lvlJc w:val="left"/>
      <w:pPr>
        <w:ind w:left="4058"/>
      </w:pPr>
      <w:rPr>
        <w:rFonts w:hint="eastAsia"/>
      </w:rPr>
    </w:lvl>
  </w:abstractNum>
  <w:abstractNum w:abstractNumId="7">
    <w:nsid w:val="00000007"/>
    <w:multiLevelType w:val="singleLevel"/>
    <w:tmpl w:val="00000007"/>
    <w:lvl w:ilvl="0" w:tentative="0">
      <w:start w:val="1"/>
      <w:numFmt w:val="decimal"/>
      <w:suff w:val="nothing"/>
      <w:lvlText w:val="%1、"/>
      <w:lvlJc w:val="left"/>
    </w:lvl>
  </w:abstractNum>
  <w:abstractNum w:abstractNumId="8">
    <w:nsid w:val="00000009"/>
    <w:multiLevelType w:val="multilevel"/>
    <w:tmpl w:val="0000000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0000000A"/>
    <w:multiLevelType w:val="singleLevel"/>
    <w:tmpl w:val="0000000A"/>
    <w:lvl w:ilvl="0" w:tentative="0">
      <w:start w:val="1"/>
      <w:numFmt w:val="decimal"/>
      <w:suff w:val="nothing"/>
      <w:lvlText w:val="%1、"/>
      <w:lvlJc w:val="left"/>
    </w:lvl>
  </w:abstractNum>
  <w:abstractNum w:abstractNumId="10">
    <w:nsid w:val="0000000B"/>
    <w:multiLevelType w:val="singleLevel"/>
    <w:tmpl w:val="0000000B"/>
    <w:lvl w:ilvl="0" w:tentative="0">
      <w:start w:val="4"/>
      <w:numFmt w:val="decimal"/>
      <w:suff w:val="nothing"/>
      <w:lvlText w:val="%1、"/>
      <w:lvlJc w:val="left"/>
    </w:lvl>
  </w:abstractNum>
  <w:abstractNum w:abstractNumId="11">
    <w:nsid w:val="0000000C"/>
    <w:multiLevelType w:val="singleLevel"/>
    <w:tmpl w:val="0000000C"/>
    <w:lvl w:ilvl="0" w:tentative="0">
      <w:start w:val="1"/>
      <w:numFmt w:val="decimal"/>
      <w:suff w:val="nothing"/>
      <w:lvlText w:val="%1、"/>
      <w:lvlJc w:val="left"/>
    </w:lvl>
  </w:abstractNum>
  <w:abstractNum w:abstractNumId="12">
    <w:nsid w:val="2B332E08"/>
    <w:multiLevelType w:val="singleLevel"/>
    <w:tmpl w:val="2B332E08"/>
    <w:lvl w:ilvl="0" w:tentative="0">
      <w:start w:val="1"/>
      <w:numFmt w:val="decimal"/>
      <w:suff w:val="nothing"/>
      <w:lvlText w:val="%1、"/>
      <w:lvlJc w:val="left"/>
    </w:lvl>
  </w:abstractNum>
  <w:abstractNum w:abstractNumId="13">
    <w:nsid w:val="53E250E2"/>
    <w:multiLevelType w:val="singleLevel"/>
    <w:tmpl w:val="53E250E2"/>
    <w:lvl w:ilvl="0" w:tentative="0">
      <w:start w:val="1"/>
      <w:numFmt w:val="decimal"/>
      <w:suff w:val="nothing"/>
      <w:lvlText w:val="%1、"/>
      <w:lvlJc w:val="left"/>
      <w:pPr>
        <w:ind w:left="-10"/>
      </w:pPr>
    </w:lvl>
  </w:abstractNum>
  <w:abstractNum w:abstractNumId="14">
    <w:nsid w:val="5653BABA"/>
    <w:multiLevelType w:val="singleLevel"/>
    <w:tmpl w:val="5653BABA"/>
    <w:lvl w:ilvl="0" w:tentative="0">
      <w:start w:val="1"/>
      <w:numFmt w:val="chineseCounting"/>
      <w:suff w:val="nothing"/>
      <w:lvlText w:val="%1、"/>
      <w:lvlJc w:val="left"/>
      <w:pPr>
        <w:ind w:left="-10"/>
      </w:pPr>
      <w:rPr>
        <w:rFonts w:hint="eastAsia"/>
      </w:rPr>
    </w:lvl>
  </w:abstractNum>
  <w:num w:numId="1">
    <w:abstractNumId w:val="10"/>
  </w:num>
  <w:num w:numId="2">
    <w:abstractNumId w:val="7"/>
  </w:num>
  <w:num w:numId="3">
    <w:abstractNumId w:val="1"/>
  </w:num>
  <w:num w:numId="4">
    <w:abstractNumId w:val="11"/>
  </w:num>
  <w:num w:numId="5">
    <w:abstractNumId w:val="3"/>
  </w:num>
  <w:num w:numId="6">
    <w:abstractNumId w:val="8"/>
  </w:num>
  <w:num w:numId="7">
    <w:abstractNumId w:val="0"/>
  </w:num>
  <w:num w:numId="8">
    <w:abstractNumId w:val="6"/>
  </w:num>
  <w:num w:numId="9">
    <w:abstractNumId w:val="2"/>
  </w:num>
  <w:num w:numId="10">
    <w:abstractNumId w:val="5"/>
  </w:num>
  <w:num w:numId="11">
    <w:abstractNumId w:val="4"/>
  </w:num>
  <w:num w:numId="12">
    <w:abstractNumId w:val="9"/>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2OTY0NGNjNzJlM2Y0NzI4MzU3Yjc4ZjBjMTdjMTUifQ=="/>
  </w:docVars>
  <w:rsids>
    <w:rsidRoot w:val="00000000"/>
    <w:rsid w:val="00030CD0"/>
    <w:rsid w:val="00557785"/>
    <w:rsid w:val="007F483E"/>
    <w:rsid w:val="00F110AA"/>
    <w:rsid w:val="01667F1A"/>
    <w:rsid w:val="016C13A8"/>
    <w:rsid w:val="01DA656D"/>
    <w:rsid w:val="023D4BBA"/>
    <w:rsid w:val="0314477A"/>
    <w:rsid w:val="037F0313"/>
    <w:rsid w:val="0386651E"/>
    <w:rsid w:val="061537C1"/>
    <w:rsid w:val="07B14A58"/>
    <w:rsid w:val="09A31E12"/>
    <w:rsid w:val="0A8133B0"/>
    <w:rsid w:val="0AE82092"/>
    <w:rsid w:val="0BE318F8"/>
    <w:rsid w:val="0C2D71D5"/>
    <w:rsid w:val="0D635BBE"/>
    <w:rsid w:val="0DF3468E"/>
    <w:rsid w:val="0E0C2D9F"/>
    <w:rsid w:val="0F403993"/>
    <w:rsid w:val="101D7C13"/>
    <w:rsid w:val="104876D6"/>
    <w:rsid w:val="1066728E"/>
    <w:rsid w:val="11EE6843"/>
    <w:rsid w:val="120609FD"/>
    <w:rsid w:val="1208017A"/>
    <w:rsid w:val="147E4E8A"/>
    <w:rsid w:val="159B68C6"/>
    <w:rsid w:val="15B22F61"/>
    <w:rsid w:val="168C411F"/>
    <w:rsid w:val="18173C56"/>
    <w:rsid w:val="181F701A"/>
    <w:rsid w:val="198670AB"/>
    <w:rsid w:val="1AEF7BCD"/>
    <w:rsid w:val="1E6A4256"/>
    <w:rsid w:val="1E8F3DC9"/>
    <w:rsid w:val="1EBD3B62"/>
    <w:rsid w:val="1EE20EB2"/>
    <w:rsid w:val="22BE077E"/>
    <w:rsid w:val="23594E18"/>
    <w:rsid w:val="23D74342"/>
    <w:rsid w:val="27382C54"/>
    <w:rsid w:val="298919DE"/>
    <w:rsid w:val="29A446A3"/>
    <w:rsid w:val="2A674F0B"/>
    <w:rsid w:val="2AA31B5E"/>
    <w:rsid w:val="2C267E1B"/>
    <w:rsid w:val="2C736DD8"/>
    <w:rsid w:val="2CA35C81"/>
    <w:rsid w:val="2DA74F8B"/>
    <w:rsid w:val="2E0D37A8"/>
    <w:rsid w:val="2E823FAE"/>
    <w:rsid w:val="2E8D402D"/>
    <w:rsid w:val="2EAD11E4"/>
    <w:rsid w:val="303D2EFB"/>
    <w:rsid w:val="304F270D"/>
    <w:rsid w:val="312C7D84"/>
    <w:rsid w:val="318B2EDC"/>
    <w:rsid w:val="31BF6EA2"/>
    <w:rsid w:val="34C6772B"/>
    <w:rsid w:val="356F42E6"/>
    <w:rsid w:val="35BC1E36"/>
    <w:rsid w:val="35E12BF5"/>
    <w:rsid w:val="37E1553E"/>
    <w:rsid w:val="38ED62A5"/>
    <w:rsid w:val="3AE12C91"/>
    <w:rsid w:val="3C4C4E7E"/>
    <w:rsid w:val="3DBA371A"/>
    <w:rsid w:val="3EA220FE"/>
    <w:rsid w:val="3EAE5B88"/>
    <w:rsid w:val="3EF91AD3"/>
    <w:rsid w:val="3F3E1F51"/>
    <w:rsid w:val="3F484CFB"/>
    <w:rsid w:val="41592F67"/>
    <w:rsid w:val="42FA51FD"/>
    <w:rsid w:val="44AC5BD7"/>
    <w:rsid w:val="44D21C20"/>
    <w:rsid w:val="451C6510"/>
    <w:rsid w:val="45762A9C"/>
    <w:rsid w:val="45855455"/>
    <w:rsid w:val="46AB274F"/>
    <w:rsid w:val="481366C2"/>
    <w:rsid w:val="48274E88"/>
    <w:rsid w:val="48D02CA8"/>
    <w:rsid w:val="49843C34"/>
    <w:rsid w:val="4A8C4B09"/>
    <w:rsid w:val="4C7A3704"/>
    <w:rsid w:val="4C867AA8"/>
    <w:rsid w:val="4CBD77E8"/>
    <w:rsid w:val="4DA03049"/>
    <w:rsid w:val="4DD34615"/>
    <w:rsid w:val="4F1F6920"/>
    <w:rsid w:val="4F447E4F"/>
    <w:rsid w:val="502D67E6"/>
    <w:rsid w:val="51CB17D8"/>
    <w:rsid w:val="51FA2FB9"/>
    <w:rsid w:val="52621A57"/>
    <w:rsid w:val="53057AB4"/>
    <w:rsid w:val="530B5443"/>
    <w:rsid w:val="53DF5A0F"/>
    <w:rsid w:val="5450248D"/>
    <w:rsid w:val="58225A2C"/>
    <w:rsid w:val="58E62E90"/>
    <w:rsid w:val="591C4B4F"/>
    <w:rsid w:val="5A0F7891"/>
    <w:rsid w:val="5A9440E1"/>
    <w:rsid w:val="5AE85FDF"/>
    <w:rsid w:val="5C780682"/>
    <w:rsid w:val="5EE62C34"/>
    <w:rsid w:val="619E59F8"/>
    <w:rsid w:val="6368294B"/>
    <w:rsid w:val="63A71509"/>
    <w:rsid w:val="63F853EB"/>
    <w:rsid w:val="65405A74"/>
    <w:rsid w:val="65D4269F"/>
    <w:rsid w:val="67010237"/>
    <w:rsid w:val="6790591F"/>
    <w:rsid w:val="698A1EA9"/>
    <w:rsid w:val="6A630576"/>
    <w:rsid w:val="6B2B25D4"/>
    <w:rsid w:val="6CE82F70"/>
    <w:rsid w:val="6F487FF2"/>
    <w:rsid w:val="6FBB2564"/>
    <w:rsid w:val="70111626"/>
    <w:rsid w:val="705F40F1"/>
    <w:rsid w:val="71087651"/>
    <w:rsid w:val="715E72DD"/>
    <w:rsid w:val="72474D30"/>
    <w:rsid w:val="7247576B"/>
    <w:rsid w:val="73C60A12"/>
    <w:rsid w:val="74AB5312"/>
    <w:rsid w:val="74AF5AA0"/>
    <w:rsid w:val="74F1518E"/>
    <w:rsid w:val="752018B3"/>
    <w:rsid w:val="75936464"/>
    <w:rsid w:val="771F3A1D"/>
    <w:rsid w:val="78641908"/>
    <w:rsid w:val="78752043"/>
    <w:rsid w:val="7B5D24D2"/>
    <w:rsid w:val="7B6C3B4F"/>
    <w:rsid w:val="7C130605"/>
    <w:rsid w:val="7D4C6E90"/>
    <w:rsid w:val="7E593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9"/>
    <w:pPr>
      <w:keepNext/>
      <w:keepLines/>
      <w:spacing w:before="100" w:beforeAutospacing="1" w:after="100" w:afterAutospacing="1" w:line="560" w:lineRule="exact"/>
      <w:jc w:val="center"/>
      <w:outlineLvl w:val="0"/>
    </w:pPr>
    <w:rPr>
      <w:rFonts w:eastAsia="方正小标宋简体"/>
      <w:bCs/>
      <w:kern w:val="44"/>
      <w:sz w:val="44"/>
      <w:szCs w:val="44"/>
    </w:rPr>
  </w:style>
  <w:style w:type="paragraph" w:styleId="4">
    <w:name w:val="heading 2"/>
    <w:basedOn w:val="1"/>
    <w:next w:val="1"/>
    <w:qFormat/>
    <w:uiPriority w:val="9"/>
    <w:pPr>
      <w:keepNext/>
      <w:keepLines/>
      <w:spacing w:line="560" w:lineRule="exact"/>
      <w:jc w:val="left"/>
      <w:outlineLvl w:val="1"/>
    </w:pPr>
    <w:rPr>
      <w:rFonts w:ascii="Arial" w:hAnsi="Arial" w:eastAsia="方正小标宋简体"/>
      <w:bCs/>
      <w:sz w:val="44"/>
      <w:szCs w:val="32"/>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paragraph" w:styleId="2">
    <w:name w:val="heading 4"/>
    <w:basedOn w:val="1"/>
    <w:next w:val="1"/>
    <w:qFormat/>
    <w:uiPriority w:val="0"/>
    <w:pPr>
      <w:keepNext/>
      <w:keepLines/>
      <w:spacing w:before="280" w:after="290" w:line="372" w:lineRule="auto"/>
      <w:outlineLvl w:val="3"/>
    </w:pPr>
    <w:rPr>
      <w:rFonts w:ascii="Cambria" w:hAnsi="Cambria"/>
      <w:b/>
      <w:bCs/>
      <w:sz w:val="28"/>
      <w:szCs w:val="28"/>
    </w:rPr>
  </w:style>
  <w:style w:type="paragraph" w:styleId="6">
    <w:name w:val="heading 5"/>
    <w:basedOn w:val="1"/>
    <w:next w:val="1"/>
    <w:qFormat/>
    <w:uiPriority w:val="0"/>
    <w:pPr>
      <w:keepNext/>
      <w:keepLines/>
      <w:spacing w:before="280" w:after="290" w:line="372" w:lineRule="auto"/>
      <w:outlineLvl w:val="4"/>
    </w:pPr>
    <w:rPr>
      <w:rFonts w:ascii="Calibri" w:hAnsi="Calibri"/>
      <w:b/>
      <w:bCs/>
      <w:sz w:val="28"/>
      <w:szCs w:val="28"/>
    </w:rPr>
  </w:style>
  <w:style w:type="paragraph" w:styleId="7">
    <w:name w:val="heading 6"/>
    <w:basedOn w:val="1"/>
    <w:next w:val="1"/>
    <w:qFormat/>
    <w:uiPriority w:val="0"/>
    <w:pPr>
      <w:keepNext/>
      <w:keepLines/>
      <w:spacing w:before="240" w:beforeAutospacing="0" w:after="64" w:afterAutospacing="0" w:line="317" w:lineRule="auto"/>
      <w:outlineLvl w:val="5"/>
    </w:pPr>
    <w:rPr>
      <w:rFonts w:ascii="Arial" w:hAnsi="Arial" w:eastAsia="黑体"/>
      <w:b/>
      <w:sz w:val="24"/>
    </w:rPr>
  </w:style>
  <w:style w:type="character" w:default="1" w:styleId="26">
    <w:name w:val="Default Paragraph Font"/>
    <w:qFormat/>
    <w:uiPriority w:val="0"/>
  </w:style>
  <w:style w:type="table" w:default="1" w:styleId="24">
    <w:name w:val="Normal Table"/>
    <w:qFormat/>
    <w:uiPriority w:val="0"/>
    <w:tblPr>
      <w:tblCellMar>
        <w:top w:w="0" w:type="dxa"/>
        <w:left w:w="108" w:type="dxa"/>
        <w:bottom w:w="0" w:type="dxa"/>
        <w:right w:w="108" w:type="dxa"/>
      </w:tblCellMar>
    </w:tblPr>
  </w:style>
  <w:style w:type="paragraph" w:styleId="8">
    <w:name w:val="toa heading"/>
    <w:basedOn w:val="1"/>
    <w:next w:val="1"/>
    <w:qFormat/>
    <w:uiPriority w:val="0"/>
    <w:pPr>
      <w:spacing w:before="120"/>
    </w:pPr>
    <w:rPr>
      <w:rFonts w:ascii="Calibri Light" w:hAnsi="Calibri Light" w:cs="Times New Roman"/>
    </w:rPr>
  </w:style>
  <w:style w:type="paragraph" w:styleId="9">
    <w:name w:val="annotation text"/>
    <w:basedOn w:val="1"/>
    <w:qFormat/>
    <w:uiPriority w:val="0"/>
    <w:pPr>
      <w:jc w:val="left"/>
    </w:pPr>
  </w:style>
  <w:style w:type="paragraph" w:styleId="10">
    <w:name w:val="Body Text 3"/>
    <w:basedOn w:val="1"/>
    <w:qFormat/>
    <w:uiPriority w:val="0"/>
    <w:rPr>
      <w:rFonts w:ascii="宋体"/>
      <w:sz w:val="24"/>
    </w:rPr>
  </w:style>
  <w:style w:type="paragraph" w:styleId="11">
    <w:name w:val="Body Text"/>
    <w:basedOn w:val="1"/>
    <w:qFormat/>
    <w:uiPriority w:val="0"/>
    <w:pPr>
      <w:spacing w:after="120"/>
    </w:pPr>
    <w:rPr>
      <w:rFonts w:ascii="Calibri" w:hAnsi="Calibri" w:eastAsia="宋体" w:cs="Times New Roman"/>
    </w:rPr>
  </w:style>
  <w:style w:type="paragraph" w:styleId="12">
    <w:name w:val="Body Text Indent"/>
    <w:basedOn w:val="1"/>
    <w:qFormat/>
    <w:uiPriority w:val="99"/>
    <w:pPr>
      <w:ind w:firstLine="632" w:firstLineChars="200"/>
    </w:pPr>
    <w:rPr>
      <w:rFonts w:eastAsia="仿宋_GB2312"/>
      <w:sz w:val="32"/>
    </w:rPr>
  </w:style>
  <w:style w:type="paragraph" w:styleId="13">
    <w:name w:val="toc 3"/>
    <w:basedOn w:val="1"/>
    <w:next w:val="1"/>
    <w:qFormat/>
    <w:uiPriority w:val="39"/>
    <w:pPr>
      <w:tabs>
        <w:tab w:val="right" w:leader="dot" w:pos="8834"/>
      </w:tabs>
      <w:spacing w:line="560" w:lineRule="exact"/>
      <w:ind w:left="420"/>
      <w:jc w:val="left"/>
    </w:pPr>
    <w:rPr>
      <w:rFonts w:ascii="仿宋_GB2312" w:hAnsi="仿宋_GB2312" w:eastAsia="宋体" w:cs="Calibri"/>
      <w:iCs/>
      <w:sz w:val="24"/>
      <w:szCs w:val="32"/>
    </w:rPr>
  </w:style>
  <w:style w:type="paragraph" w:styleId="14">
    <w:name w:val="Plain Text"/>
    <w:basedOn w:val="1"/>
    <w:qFormat/>
    <w:uiPriority w:val="0"/>
    <w:rPr>
      <w:rFonts w:ascii="宋体" w:hAnsi="Courier New" w:eastAsia="宋体" w:cs="Times New Roman"/>
      <w:kern w:val="2"/>
      <w:sz w:val="21"/>
      <w:lang w:val="en-US" w:eastAsia="zh-CN" w:bidi="ar-SA"/>
    </w:rPr>
  </w:style>
  <w:style w:type="paragraph" w:styleId="15">
    <w:name w:val="Body Text Indent 2"/>
    <w:basedOn w:val="1"/>
    <w:qFormat/>
    <w:uiPriority w:val="0"/>
    <w:pPr>
      <w:spacing w:line="360" w:lineRule="auto"/>
      <w:ind w:firstLine="480" w:firstLineChars="200"/>
    </w:pPr>
    <w:rPr>
      <w:sz w:val="24"/>
      <w:szCs w:val="24"/>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tabs>
        <w:tab w:val="right" w:leader="dot" w:pos="8834"/>
      </w:tabs>
      <w:spacing w:line="560" w:lineRule="exact"/>
      <w:jc w:val="left"/>
    </w:pPr>
    <w:rPr>
      <w:rFonts w:ascii="仿宋_GB2312" w:hAnsi="宋体" w:eastAsia="仿宋_GB2312" w:cs="Calibri"/>
      <w:b/>
      <w:bCs/>
      <w:caps/>
      <w:sz w:val="28"/>
      <w:szCs w:val="28"/>
    </w:rPr>
  </w:style>
  <w:style w:type="paragraph" w:styleId="19">
    <w:name w:val="toc 2"/>
    <w:basedOn w:val="1"/>
    <w:next w:val="1"/>
    <w:qFormat/>
    <w:uiPriority w:val="39"/>
    <w:pPr>
      <w:tabs>
        <w:tab w:val="right" w:leader="dot" w:pos="8834"/>
      </w:tabs>
      <w:spacing w:line="560" w:lineRule="exact"/>
      <w:ind w:left="210"/>
      <w:jc w:val="left"/>
    </w:pPr>
    <w:rPr>
      <w:rFonts w:cs="Calibri"/>
      <w:smallCaps/>
      <w:sz w:val="20"/>
      <w:szCs w:val="20"/>
    </w:rPr>
  </w:style>
  <w:style w:type="paragraph" w:styleId="2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21">
    <w:name w:val="Normal (Web)"/>
    <w:basedOn w:val="1"/>
    <w:qFormat/>
    <w:uiPriority w:val="0"/>
    <w:pPr>
      <w:spacing w:beforeAutospacing="1" w:afterAutospacing="1"/>
      <w:jc w:val="left"/>
    </w:pPr>
    <w:rPr>
      <w:rFonts w:cs="Times New Roman"/>
      <w:kern w:val="0"/>
      <w:sz w:val="24"/>
    </w:rPr>
  </w:style>
  <w:style w:type="paragraph" w:styleId="22">
    <w:name w:val="Title"/>
    <w:basedOn w:val="1"/>
    <w:next w:val="1"/>
    <w:qFormat/>
    <w:uiPriority w:val="0"/>
    <w:pPr>
      <w:widowControl/>
      <w:spacing w:before="100" w:beforeAutospacing="1" w:after="100" w:afterAutospacing="1" w:line="560" w:lineRule="exact"/>
      <w:jc w:val="center"/>
      <w:outlineLvl w:val="0"/>
    </w:pPr>
    <w:rPr>
      <w:rFonts w:ascii="Calibri Light" w:hAnsi="Calibri Light" w:eastAsia="方正小标宋简体" w:cs="宋体"/>
      <w:bCs/>
      <w:sz w:val="44"/>
      <w:szCs w:val="32"/>
    </w:rPr>
  </w:style>
  <w:style w:type="paragraph" w:styleId="23">
    <w:name w:val="Body Text First Indent 2"/>
    <w:basedOn w:val="12"/>
    <w:qFormat/>
    <w:uiPriority w:val="99"/>
    <w:pPr>
      <w:spacing w:line="360" w:lineRule="auto"/>
      <w:ind w:firstLine="420"/>
    </w:pPr>
    <w:rPr>
      <w:rFonts w:ascii="仿宋" w:hAnsi="仿宋" w:eastAsia="仿宋"/>
      <w:sz w:val="24"/>
    </w:r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Hyperlink"/>
    <w:basedOn w:val="26"/>
    <w:qFormat/>
    <w:uiPriority w:val="0"/>
    <w:rPr>
      <w:color w:val="0000FF"/>
      <w:u w:val="single"/>
    </w:rPr>
  </w:style>
  <w:style w:type="paragraph" w:customStyle="1" w:styleId="28">
    <w:name w:val="附件"/>
    <w:basedOn w:val="1"/>
    <w:link w:val="29"/>
    <w:qFormat/>
    <w:uiPriority w:val="0"/>
    <w:pPr>
      <w:jc w:val="left"/>
      <w:outlineLvl w:val="0"/>
    </w:pPr>
    <w:rPr>
      <w:rFonts w:hint="eastAsia" w:ascii="仿宋_GB2312" w:hAnsi="仿宋_GB2312" w:eastAsia="仿宋_GB2312" w:cs="仿宋_GB2312"/>
      <w:b/>
      <w:bCs/>
      <w:sz w:val="24"/>
    </w:rPr>
  </w:style>
  <w:style w:type="character" w:customStyle="1" w:styleId="29">
    <w:name w:val="附件 Char"/>
    <w:link w:val="28"/>
    <w:qFormat/>
    <w:uiPriority w:val="0"/>
    <w:rPr>
      <w:rFonts w:hint="eastAsia" w:ascii="仿宋_GB2312" w:hAnsi="仿宋_GB2312" w:eastAsia="仿宋_GB2312" w:cs="仿宋_GB2312"/>
      <w:b/>
      <w:bCs/>
      <w:sz w:val="24"/>
    </w:rPr>
  </w:style>
  <w:style w:type="paragraph" w:customStyle="1" w:styleId="30">
    <w:name w:val="样式 标题 2 + Times New Roman 四号 非加粗 段前: 5 磅 段后: 0 磅 行距: 固定值 20..."/>
    <w:basedOn w:val="4"/>
    <w:qFormat/>
    <w:uiPriority w:val="0"/>
    <w:pPr>
      <w:spacing w:before="100" w:after="0" w:line="400" w:lineRule="exact"/>
      <w:jc w:val="left"/>
    </w:pPr>
    <w:rPr>
      <w:rFonts w:ascii="Times New Roman" w:hAnsi="Times New Roman" w:eastAsia="方正小标宋简体" w:cs="宋体"/>
      <w:bCs w:val="0"/>
      <w:sz w:val="28"/>
      <w:szCs w:val="20"/>
    </w:rPr>
  </w:style>
  <w:style w:type="paragraph" w:customStyle="1" w:styleId="31">
    <w:name w:val="样式2"/>
    <w:basedOn w:val="14"/>
    <w:qFormat/>
    <w:uiPriority w:val="0"/>
    <w:rPr>
      <w:rFonts w:ascii="黑体" w:eastAsia="黑体"/>
      <w:sz w:val="24"/>
    </w:rPr>
  </w:style>
  <w:style w:type="paragraph" w:customStyle="1" w:styleId="32">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33">
    <w:name w:val="第四行"/>
    <w:basedOn w:val="1"/>
    <w:qFormat/>
    <w:uiPriority w:val="0"/>
    <w:pPr>
      <w:spacing w:beforeLines="200" w:line="360" w:lineRule="auto"/>
      <w:ind w:left="-400" w:leftChars="-400"/>
      <w:jc w:val="center"/>
    </w:pPr>
    <w:rPr>
      <w:rFonts w:ascii="宋体"/>
      <w:b/>
      <w:bCs/>
      <w:sz w:val="28"/>
      <w:szCs w:val="28"/>
    </w:rPr>
  </w:style>
  <w:style w:type="paragraph" w:customStyle="1" w:styleId="34">
    <w:name w:val="Style73"/>
    <w:basedOn w:val="1"/>
    <w:qFormat/>
    <w:uiPriority w:val="0"/>
    <w:pPr>
      <w:adjustRightInd w:val="0"/>
      <w:spacing w:line="273" w:lineRule="exact"/>
      <w:ind w:firstLine="437"/>
    </w:pPr>
    <w:rPr>
      <w:rFonts w:ascii="宋体" w:hAnsi="Calibri"/>
      <w:kern w:val="0"/>
      <w:sz w:val="24"/>
    </w:rPr>
  </w:style>
  <w:style w:type="paragraph" w:styleId="35">
    <w:name w:val="List Paragraph"/>
    <w:basedOn w:val="1"/>
    <w:qFormat/>
    <w:uiPriority w:val="99"/>
    <w:pPr>
      <w:ind w:firstLine="420" w:firstLineChars="200"/>
    </w:pPr>
  </w:style>
  <w:style w:type="paragraph" w:customStyle="1" w:styleId="36">
    <w:name w:val="列出段落13"/>
    <w:basedOn w:val="1"/>
    <w:qFormat/>
    <w:uiPriority w:val="99"/>
    <w:pPr>
      <w:ind w:firstLine="420" w:firstLineChars="200"/>
    </w:pPr>
    <w:rPr>
      <w:rFonts w:ascii="Times New Roman" w:hAnsi="Times New Roman" w:eastAsia="宋体"/>
      <w:kern w:val="0"/>
      <w:sz w:val="20"/>
      <w:lang w:val="zh-CN"/>
    </w:rPr>
  </w:style>
  <w:style w:type="character" w:customStyle="1" w:styleId="37">
    <w:name w:val="font31"/>
    <w:basedOn w:val="26"/>
    <w:qFormat/>
    <w:uiPriority w:val="0"/>
    <w:rPr>
      <w:rFonts w:hint="eastAsia" w:ascii="宋体" w:hAnsi="宋体" w:eastAsia="宋体" w:cs="宋体"/>
      <w:b/>
      <w:color w:val="FF0000"/>
      <w:sz w:val="17"/>
      <w:szCs w:val="17"/>
      <w:u w:val="none"/>
    </w:rPr>
  </w:style>
  <w:style w:type="paragraph" w:customStyle="1" w:styleId="38">
    <w:name w:val="Heading #2|1"/>
    <w:basedOn w:val="1"/>
    <w:qFormat/>
    <w:uiPriority w:val="0"/>
    <w:pPr>
      <w:shd w:val="clear" w:color="auto" w:fill="FFFFFF"/>
      <w:spacing w:after="540" w:line="583" w:lineRule="exact"/>
      <w:jc w:val="center"/>
      <w:outlineLvl w:val="1"/>
    </w:pPr>
    <w:rPr>
      <w:rFonts w:ascii="PMingLiU" w:hAnsi="PMingLiU" w:eastAsia="PMingLiU" w:cs="PMingLiU"/>
      <w:kern w:val="0"/>
      <w:sz w:val="42"/>
      <w:szCs w:val="42"/>
    </w:rPr>
  </w:style>
  <w:style w:type="paragraph" w:customStyle="1" w:styleId="39">
    <w:name w:val="Table caption|2"/>
    <w:basedOn w:val="1"/>
    <w:qFormat/>
    <w:uiPriority w:val="0"/>
    <w:pPr>
      <w:shd w:val="clear" w:color="auto" w:fill="FFFFFF"/>
      <w:spacing w:line="300" w:lineRule="exact"/>
      <w:jc w:val="left"/>
    </w:pPr>
    <w:rPr>
      <w:rFonts w:ascii="PMingLiU" w:hAnsi="PMingLiU" w:eastAsia="PMingLiU" w:cs="PMingLiU"/>
      <w:spacing w:val="30"/>
      <w:kern w:val="0"/>
      <w:sz w:val="30"/>
      <w:szCs w:val="30"/>
    </w:rPr>
  </w:style>
  <w:style w:type="paragraph" w:customStyle="1" w:styleId="40">
    <w:name w:val="Body text|2"/>
    <w:basedOn w:val="1"/>
    <w:link w:val="42"/>
    <w:qFormat/>
    <w:uiPriority w:val="0"/>
    <w:pPr>
      <w:shd w:val="clear" w:color="auto" w:fill="FFFFFF"/>
      <w:spacing w:before="480" w:after="1300" w:line="300" w:lineRule="exact"/>
      <w:ind w:hanging="1920"/>
      <w:jc w:val="center"/>
    </w:pPr>
    <w:rPr>
      <w:rFonts w:ascii="PMingLiU" w:hAnsi="PMingLiU" w:eastAsia="PMingLiU" w:cs="PMingLiU"/>
      <w:spacing w:val="30"/>
      <w:kern w:val="0"/>
      <w:sz w:val="30"/>
      <w:szCs w:val="30"/>
    </w:rPr>
  </w:style>
  <w:style w:type="character" w:customStyle="1" w:styleId="41">
    <w:name w:val="Body text|2 + 11 pt"/>
    <w:basedOn w:val="42"/>
    <w:qFormat/>
    <w:uiPriority w:val="0"/>
    <w:rPr>
      <w:rFonts w:ascii="PMingLiU" w:hAnsi="PMingLiU" w:eastAsia="PMingLiU" w:cs="PMingLiU"/>
      <w:color w:val="000000"/>
      <w:spacing w:val="30"/>
      <w:w w:val="100"/>
      <w:position w:val="0"/>
      <w:sz w:val="22"/>
      <w:szCs w:val="22"/>
      <w:u w:val="none"/>
      <w:shd w:val="clear" w:color="auto" w:fill="FFFFFF"/>
      <w:lang w:val="zh-CN" w:eastAsia="zh-CN" w:bidi="zh-CN"/>
    </w:rPr>
  </w:style>
  <w:style w:type="character" w:customStyle="1" w:styleId="42">
    <w:name w:val="Body text|2_"/>
    <w:basedOn w:val="26"/>
    <w:link w:val="40"/>
    <w:qFormat/>
    <w:uiPriority w:val="0"/>
    <w:rPr>
      <w:rFonts w:ascii="PMingLiU" w:hAnsi="PMingLiU" w:eastAsia="PMingLiU" w:cs="PMingLiU"/>
      <w:spacing w:val="30"/>
      <w:kern w:val="0"/>
      <w:sz w:val="30"/>
      <w:szCs w:val="30"/>
    </w:rPr>
  </w:style>
  <w:style w:type="paragraph" w:customStyle="1" w:styleId="43">
    <w:name w:val="Table caption|1"/>
    <w:basedOn w:val="1"/>
    <w:qFormat/>
    <w:uiPriority w:val="0"/>
    <w:pPr>
      <w:shd w:val="clear" w:color="auto" w:fill="FFFFFF"/>
      <w:spacing w:line="396" w:lineRule="exact"/>
      <w:jc w:val="distribute"/>
    </w:pPr>
    <w:rPr>
      <w:rFonts w:ascii="PMingLiU" w:hAnsi="PMingLiU" w:eastAsia="PMingLiU" w:cs="PMingLiU"/>
      <w:spacing w:val="30"/>
      <w:kern w:val="0"/>
      <w:sz w:val="22"/>
    </w:rPr>
  </w:style>
  <w:style w:type="paragraph" w:customStyle="1" w:styleId="44">
    <w:name w:val="Body text|5"/>
    <w:basedOn w:val="1"/>
    <w:qFormat/>
    <w:uiPriority w:val="0"/>
    <w:pPr>
      <w:shd w:val="clear" w:color="auto" w:fill="FFFFFF"/>
      <w:spacing w:before="120" w:after="120" w:line="220" w:lineRule="exact"/>
      <w:jc w:val="left"/>
    </w:pPr>
    <w:rPr>
      <w:rFonts w:ascii="PMingLiU" w:hAnsi="PMingLiU" w:eastAsia="PMingLiU" w:cs="PMingLiU"/>
      <w:spacing w:val="30"/>
      <w:kern w:val="0"/>
      <w:sz w:val="22"/>
    </w:rPr>
  </w:style>
  <w:style w:type="paragraph" w:customStyle="1" w:styleId="45">
    <w:name w:val="Body text|22"/>
    <w:basedOn w:val="1"/>
    <w:qFormat/>
    <w:uiPriority w:val="0"/>
    <w:pPr>
      <w:shd w:val="clear" w:color="auto" w:fill="FFFFFF"/>
      <w:spacing w:before="480" w:after="1300" w:line="300" w:lineRule="exact"/>
      <w:ind w:hanging="1920"/>
      <w:jc w:val="center"/>
    </w:pPr>
    <w:rPr>
      <w:rFonts w:ascii="PMingLiU" w:hAnsi="PMingLiU" w:eastAsia="PMingLiU" w:cs="PMingLiU"/>
      <w:spacing w:val="30"/>
      <w:sz w:val="30"/>
      <w:szCs w:val="30"/>
    </w:rPr>
  </w:style>
  <w:style w:type="character" w:customStyle="1" w:styleId="46">
    <w:name w:val="Body text|2 + Spacing 5 pt"/>
    <w:basedOn w:val="42"/>
    <w:qFormat/>
    <w:uiPriority w:val="0"/>
    <w:rPr>
      <w:rFonts w:ascii="PMingLiU" w:hAnsi="PMingLiU" w:eastAsia="PMingLiU" w:cs="PMingLiU"/>
      <w:color w:val="000000"/>
      <w:spacing w:val="110"/>
      <w:w w:val="100"/>
      <w:position w:val="0"/>
      <w:sz w:val="30"/>
      <w:szCs w:val="30"/>
      <w:u w:val="none"/>
      <w:lang w:val="zh-CN" w:eastAsia="zh-CN" w:bidi="zh-CN"/>
    </w:rPr>
  </w:style>
  <w:style w:type="character" w:customStyle="1" w:styleId="47">
    <w:name w:val="font11"/>
    <w:qFormat/>
    <w:uiPriority w:val="0"/>
    <w:rPr>
      <w:rFonts w:hint="eastAsia" w:ascii="宋体" w:hAnsi="宋体" w:eastAsia="宋体" w:cs="宋体"/>
      <w:color w:val="000000"/>
      <w:sz w:val="22"/>
      <w:szCs w:val="22"/>
      <w:u w:val="none"/>
    </w:rPr>
  </w:style>
  <w:style w:type="character" w:customStyle="1" w:styleId="48">
    <w:name w:val="font61"/>
    <w:qFormat/>
    <w:uiPriority w:val="0"/>
    <w:rPr>
      <w:rFonts w:hint="eastAsia" w:ascii="宋体" w:hAnsi="宋体" w:eastAsia="宋体" w:cs="宋体"/>
      <w:color w:val="000000"/>
      <w:sz w:val="22"/>
      <w:szCs w:val="22"/>
      <w:u w:val="none"/>
    </w:rPr>
  </w:style>
  <w:style w:type="character" w:customStyle="1" w:styleId="49">
    <w:name w:val="font01"/>
    <w:qFormat/>
    <w:uiPriority w:val="0"/>
    <w:rPr>
      <w:rFonts w:ascii="Wingdings" w:hAnsi="Wingdings" w:cs="Wingdings"/>
      <w:color w:val="000000"/>
      <w:sz w:val="22"/>
      <w:szCs w:val="22"/>
      <w:u w:val="none"/>
    </w:rPr>
  </w:style>
  <w:style w:type="paragraph" w:customStyle="1" w:styleId="50">
    <w:name w:val="Body text|4"/>
    <w:basedOn w:val="1"/>
    <w:qFormat/>
    <w:uiPriority w:val="0"/>
    <w:pPr>
      <w:widowControl w:val="0"/>
      <w:shd w:val="clear" w:color="auto" w:fill="auto"/>
      <w:spacing w:after="460"/>
      <w:ind w:right="200"/>
      <w:jc w:val="center"/>
    </w:pPr>
    <w:rPr>
      <w:rFonts w:ascii="宋体" w:hAnsi="宋体" w:eastAsia="宋体" w:cs="宋体"/>
      <w:color w:val="B20610"/>
      <w:sz w:val="76"/>
      <w:szCs w:val="76"/>
      <w:u w:val="none"/>
      <w:shd w:val="clear" w:color="auto" w:fill="auto"/>
      <w:lang w:val="zh-TW" w:eastAsia="zh-TW" w:bidi="zh-TW"/>
    </w:rPr>
  </w:style>
  <w:style w:type="paragraph" w:customStyle="1" w:styleId="51">
    <w:name w:val="Body text|1"/>
    <w:basedOn w:val="1"/>
    <w:qFormat/>
    <w:uiPriority w:val="0"/>
    <w:pPr>
      <w:widowControl w:val="0"/>
      <w:shd w:val="clear" w:color="auto" w:fill="auto"/>
      <w:spacing w:after="600" w:line="432" w:lineRule="auto"/>
      <w:ind w:firstLine="400"/>
    </w:pPr>
    <w:rPr>
      <w:rFonts w:ascii="宋体" w:hAnsi="宋体" w:eastAsia="宋体" w:cs="宋体"/>
      <w:sz w:val="30"/>
      <w:szCs w:val="30"/>
      <w:u w:val="none"/>
      <w:shd w:val="clear" w:color="auto" w:fill="auto"/>
      <w:lang w:val="zh-TW" w:eastAsia="zh-TW" w:bidi="zh-TW"/>
    </w:rPr>
  </w:style>
  <w:style w:type="paragraph" w:customStyle="1" w:styleId="52">
    <w:name w:val="Body text|3"/>
    <w:basedOn w:val="1"/>
    <w:qFormat/>
    <w:uiPriority w:val="0"/>
    <w:pPr>
      <w:widowControl w:val="0"/>
      <w:shd w:val="clear" w:color="auto" w:fill="auto"/>
      <w:spacing w:line="209" w:lineRule="auto"/>
      <w:ind w:left="2920"/>
    </w:pPr>
    <w:rPr>
      <w:color w:val="D37E93"/>
      <w:sz w:val="10"/>
      <w:szCs w:val="10"/>
      <w:u w:val="none"/>
      <w:shd w:val="clear" w:color="auto" w:fill="auto"/>
    </w:rPr>
  </w:style>
  <w:style w:type="character" w:customStyle="1" w:styleId="53">
    <w:name w:val="font41"/>
    <w:basedOn w:val="26"/>
    <w:qFormat/>
    <w:uiPriority w:val="0"/>
    <w:rPr>
      <w:rFonts w:hint="eastAsia" w:ascii="仿宋_GB2312" w:eastAsia="仿宋_GB2312" w:cs="仿宋_GB2312"/>
      <w:color w:val="000000"/>
      <w:sz w:val="21"/>
      <w:szCs w:val="21"/>
      <w:u w:val="none"/>
    </w:rPr>
  </w:style>
  <w:style w:type="character" w:customStyle="1" w:styleId="54">
    <w:name w:val="font21"/>
    <w:basedOn w:val="26"/>
    <w:qFormat/>
    <w:uiPriority w:val="0"/>
    <w:rPr>
      <w:rFonts w:hint="eastAsia" w:ascii="仿宋_GB2312" w:eastAsia="仿宋_GB2312" w:cs="仿宋_GB2312"/>
      <w:color w:val="000000"/>
      <w:sz w:val="21"/>
      <w:szCs w:val="21"/>
      <w:u w:val="single"/>
    </w:rPr>
  </w:style>
  <w:style w:type="character" w:customStyle="1" w:styleId="55">
    <w:name w:val="font51"/>
    <w:basedOn w:val="26"/>
    <w:qFormat/>
    <w:uiPriority w:val="0"/>
    <w:rPr>
      <w:rFonts w:hint="eastAsia" w:ascii="仿宋_GB2312" w:eastAsia="仿宋_GB2312" w:cs="仿宋_GB2312"/>
      <w:color w:val="FF0000"/>
      <w:sz w:val="21"/>
      <w:szCs w:val="21"/>
      <w:u w:val="none"/>
    </w:rPr>
  </w:style>
  <w:style w:type="character" w:customStyle="1" w:styleId="56">
    <w:name w:val="font151"/>
    <w:basedOn w:val="26"/>
    <w:qFormat/>
    <w:uiPriority w:val="0"/>
    <w:rPr>
      <w:rFonts w:hint="eastAsia" w:ascii="宋体" w:hAnsi="宋体" w:eastAsia="宋体" w:cs="宋体"/>
      <w:color w:val="00CCFF"/>
      <w:sz w:val="24"/>
      <w:szCs w:val="24"/>
      <w:u w:val="none"/>
    </w:rPr>
  </w:style>
  <w:style w:type="character" w:customStyle="1" w:styleId="57">
    <w:name w:val="font161"/>
    <w:basedOn w:val="26"/>
    <w:qFormat/>
    <w:uiPriority w:val="0"/>
    <w:rPr>
      <w:rFonts w:hint="eastAsia" w:ascii="宋体" w:hAnsi="宋体" w:eastAsia="宋体" w:cs="宋体"/>
      <w:color w:val="000000"/>
      <w:sz w:val="20"/>
      <w:szCs w:val="20"/>
      <w:u w:val="single"/>
    </w:rPr>
  </w:style>
  <w:style w:type="character" w:customStyle="1" w:styleId="58">
    <w:name w:val="font171"/>
    <w:basedOn w:val="26"/>
    <w:qFormat/>
    <w:uiPriority w:val="0"/>
    <w:rPr>
      <w:rFonts w:hint="eastAsia" w:ascii="宋体" w:hAnsi="宋体" w:eastAsia="宋体" w:cs="宋体"/>
      <w:color w:val="FF0000"/>
      <w:sz w:val="20"/>
      <w:szCs w:val="20"/>
      <w:u w:val="none"/>
    </w:rPr>
  </w:style>
  <w:style w:type="character" w:customStyle="1" w:styleId="59">
    <w:name w:val="font91"/>
    <w:basedOn w:val="26"/>
    <w:uiPriority w:val="0"/>
    <w:rPr>
      <w:rFonts w:hint="eastAsia" w:ascii="宋体" w:hAnsi="宋体" w:eastAsia="宋体" w:cs="宋体"/>
      <w:color w:val="000000"/>
      <w:sz w:val="24"/>
      <w:szCs w:val="24"/>
      <w:u w:val="none"/>
    </w:rPr>
  </w:style>
  <w:style w:type="character" w:customStyle="1" w:styleId="60">
    <w:name w:val="font121"/>
    <w:basedOn w:val="26"/>
    <w:qFormat/>
    <w:uiPriority w:val="0"/>
    <w:rPr>
      <w:rFonts w:hint="eastAsia" w:ascii="宋体" w:hAnsi="宋体" w:eastAsia="宋体" w:cs="宋体"/>
      <w:color w:val="000000"/>
      <w:sz w:val="20"/>
      <w:szCs w:val="20"/>
      <w:u w:val="none"/>
    </w:rPr>
  </w:style>
  <w:style w:type="character" w:customStyle="1" w:styleId="61">
    <w:name w:val="font181"/>
    <w:basedOn w:val="26"/>
    <w:qFormat/>
    <w:uiPriority w:val="0"/>
    <w:rPr>
      <w:rFonts w:hint="eastAsia" w:ascii="宋体" w:hAnsi="宋体" w:eastAsia="宋体" w:cs="宋体"/>
      <w:color w:val="000000"/>
      <w:sz w:val="20"/>
      <w:szCs w:val="20"/>
      <w:u w:val="single"/>
    </w:rPr>
  </w:style>
  <w:style w:type="character" w:customStyle="1" w:styleId="62">
    <w:name w:val="font191"/>
    <w:basedOn w:val="26"/>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jpeg"/><Relationship Id="rId24" Type="http://schemas.openxmlformats.org/officeDocument/2006/relationships/theme" Target="theme/theme1.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云南建投集团</Company>
  <Pages>196</Pages>
  <Words>104001</Words>
  <Characters>108434</Characters>
  <Paragraphs>5891</Paragraphs>
  <TotalTime>99</TotalTime>
  <ScaleCrop>false</ScaleCrop>
  <LinksUpToDate>false</LinksUpToDate>
  <CharactersWithSpaces>120778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2021-04-22T07:36:00Z</dcterms:created>
  <dc:creator>寻觅</dc:creator>
  <cp:lastModifiedBy>餘波盪漾</cp:lastModifiedBy>
  <cp:lastPrinted>2022-09-15T09:19:00Z</cp:lastPrinted>
  <dcterms:modified xsi:type="dcterms:W3CDTF">2023-06-21T03:08:23Z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E0B1F611F70A40FAA0681862D1873987</vt:lpwstr>
  </property>
</Properties>
</file>