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rPr>
      </w:pPr>
      <w:r>
        <w:rPr>
          <w:rFonts w:hint="eastAsia"/>
          <w:b/>
        </w:rPr>
        <w:t>招标公告</w:t>
      </w:r>
    </w:p>
    <w:p/>
    <w:p>
      <w:r>
        <w:rPr>
          <w:rFonts w:hint="eastAsia"/>
        </w:rPr>
        <w:t>云南建投中航建设有限公司</w:t>
      </w:r>
      <w:r>
        <w:rPr>
          <w:rFonts w:hint="eastAsia"/>
          <w:lang w:val="en-US" w:eastAsia="zh-CN"/>
        </w:rPr>
        <w:t>景东分公司</w:t>
      </w:r>
      <w:r>
        <w:rPr>
          <w:rFonts w:hint="eastAsia"/>
        </w:rPr>
        <w:t>根据相关法律法规及文件，对</w:t>
      </w:r>
      <w:r>
        <w:rPr>
          <w:rFonts w:hint="eastAsia" w:ascii="宋体" w:hAnsi="宋体" w:eastAsia="宋体" w:cs="Times New Roman"/>
          <w:color w:val="auto"/>
          <w:szCs w:val="22"/>
          <w:highlight w:val="none"/>
          <w:u w:val="single"/>
          <w:lang w:val="en-US" w:eastAsia="zh-CN"/>
        </w:rPr>
        <w:t>景东县冷链物流基地建设项目工程总承包（EPC）室外附属工程专业分包</w:t>
      </w:r>
      <w:r>
        <w:rPr>
          <w:rFonts w:hint="eastAsia"/>
        </w:rPr>
        <w:t>进行招标，现将有关事宜公告如下：</w:t>
      </w:r>
    </w:p>
    <w:p/>
    <w:p>
      <w:pPr>
        <w:rPr>
          <w:b/>
        </w:rPr>
      </w:pPr>
      <w:r>
        <w:rPr>
          <w:rFonts w:hint="eastAsia"/>
          <w:b/>
        </w:rPr>
        <w:t xml:space="preserve">一、项目信息： </w:t>
      </w:r>
    </w:p>
    <w:p>
      <w:pPr>
        <w:rPr>
          <w:rFonts w:hint="eastAsia"/>
          <w:lang w:val="en-US" w:eastAsia="zh-CN"/>
        </w:rPr>
      </w:pPr>
      <w:r>
        <w:rPr>
          <w:rFonts w:hint="eastAsia"/>
        </w:rPr>
        <w:t>招标人：</w:t>
      </w:r>
      <w:r>
        <w:rPr>
          <w:rFonts w:hint="eastAsia"/>
          <w:lang w:val="en-US" w:eastAsia="zh-CN"/>
        </w:rPr>
        <w:t>李忠乾</w:t>
      </w:r>
    </w:p>
    <w:p>
      <w:pPr>
        <w:rPr>
          <w:rFonts w:hint="eastAsia" w:hAnsi="宋体"/>
          <w:sz w:val="28"/>
          <w:szCs w:val="28"/>
          <w:u w:val="single"/>
          <w:lang w:eastAsia="zh-CN"/>
        </w:rPr>
      </w:pPr>
      <w:r>
        <w:rPr>
          <w:rFonts w:hint="eastAsia"/>
        </w:rPr>
        <w:t>项目名称</w:t>
      </w:r>
      <w:r>
        <w:t>：</w:t>
      </w:r>
      <w:r>
        <w:rPr>
          <w:rFonts w:hint="eastAsia" w:ascii="宋体" w:hAnsi="宋体" w:eastAsia="宋体" w:cs="Times New Roman"/>
          <w:color w:val="auto"/>
          <w:szCs w:val="22"/>
          <w:highlight w:val="none"/>
          <w:u w:val="single"/>
          <w:lang w:val="en-US" w:eastAsia="zh-CN"/>
        </w:rPr>
        <w:t>景东县冷链物流基地建设项目工程总承包（EPC）</w:t>
      </w:r>
    </w:p>
    <w:p>
      <w:pPr>
        <w:rPr>
          <w:rFonts w:hint="default" w:eastAsiaTheme="minorEastAsia"/>
          <w:lang w:val="en-US" w:eastAsia="zh-CN"/>
        </w:rPr>
      </w:pPr>
      <w:r>
        <w:rPr>
          <w:rFonts w:hint="eastAsia"/>
        </w:rPr>
        <w:t>项目地址</w:t>
      </w:r>
      <w:r>
        <w:t>：</w:t>
      </w:r>
      <w:r>
        <w:rPr>
          <w:rFonts w:hint="eastAsia"/>
          <w:lang w:val="en-US" w:eastAsia="zh-CN"/>
        </w:rPr>
        <w:t>景东县文井镇</w:t>
      </w:r>
    </w:p>
    <w:p/>
    <w:p>
      <w:pPr>
        <w:rPr>
          <w:rFonts w:hint="eastAsia"/>
          <w:b/>
        </w:rPr>
      </w:pPr>
      <w:r>
        <w:rPr>
          <w:rFonts w:hint="eastAsia"/>
          <w:b/>
          <w:lang w:val="en-US" w:eastAsia="zh-CN"/>
        </w:rPr>
        <w:t>二、专业</w:t>
      </w:r>
      <w:r>
        <w:rPr>
          <w:rFonts w:hint="eastAsia"/>
          <w:b/>
        </w:rPr>
        <w:t xml:space="preserve">分包项目名称及拦标综合单价工程量清单 </w:t>
      </w:r>
    </w:p>
    <w:tbl>
      <w:tblPr>
        <w:tblStyle w:val="7"/>
        <w:tblpPr w:leftFromText="180" w:rightFromText="180" w:vertAnchor="text" w:horzAnchor="page" w:tblpX="511" w:tblpY="683"/>
        <w:tblOverlap w:val="never"/>
        <w:tblW w:w="11285" w:type="dxa"/>
        <w:tblInd w:w="0" w:type="dxa"/>
        <w:tblLayout w:type="fixed"/>
        <w:tblCellMar>
          <w:top w:w="0" w:type="dxa"/>
          <w:left w:w="108" w:type="dxa"/>
          <w:bottom w:w="0" w:type="dxa"/>
          <w:right w:w="108" w:type="dxa"/>
        </w:tblCellMar>
      </w:tblPr>
      <w:tblGrid>
        <w:gridCol w:w="526"/>
        <w:gridCol w:w="909"/>
        <w:gridCol w:w="1700"/>
        <w:gridCol w:w="2063"/>
        <w:gridCol w:w="1087"/>
        <w:gridCol w:w="1075"/>
        <w:gridCol w:w="1338"/>
        <w:gridCol w:w="1025"/>
        <w:gridCol w:w="1562"/>
      </w:tblGrid>
      <w:tr>
        <w:tblPrEx>
          <w:tblCellMar>
            <w:top w:w="0" w:type="dxa"/>
            <w:left w:w="108" w:type="dxa"/>
            <w:bottom w:w="0" w:type="dxa"/>
            <w:right w:w="108" w:type="dxa"/>
          </w:tblCellMar>
        </w:tblPrEx>
        <w:trPr>
          <w:trHeight w:val="300" w:hRule="atLeast"/>
          <w:tblHeader/>
        </w:trPr>
        <w:tc>
          <w:tcPr>
            <w:tcW w:w="526"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序号</w:t>
            </w:r>
          </w:p>
        </w:tc>
        <w:tc>
          <w:tcPr>
            <w:tcW w:w="909"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分包内容</w:t>
            </w:r>
          </w:p>
        </w:tc>
        <w:tc>
          <w:tcPr>
            <w:tcW w:w="1700"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分包工作内容</w:t>
            </w:r>
          </w:p>
        </w:tc>
        <w:tc>
          <w:tcPr>
            <w:tcW w:w="2063"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单位</w:t>
            </w:r>
          </w:p>
        </w:tc>
        <w:tc>
          <w:tcPr>
            <w:tcW w:w="1087" w:type="dxa"/>
            <w:vMerge w:val="restart"/>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暂估工程量</w:t>
            </w:r>
          </w:p>
        </w:tc>
        <w:tc>
          <w:tcPr>
            <w:tcW w:w="5000" w:type="dxa"/>
            <w:gridSpan w:val="4"/>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拦标价（不含税）</w:t>
            </w:r>
          </w:p>
        </w:tc>
      </w:tr>
      <w:tr>
        <w:tblPrEx>
          <w:tblCellMar>
            <w:top w:w="0" w:type="dxa"/>
            <w:left w:w="108" w:type="dxa"/>
            <w:bottom w:w="0" w:type="dxa"/>
            <w:right w:w="108" w:type="dxa"/>
          </w:tblCellMar>
        </w:tblPrEx>
        <w:trPr>
          <w:trHeight w:val="480" w:hRule="atLeast"/>
          <w:tblHeader/>
        </w:trPr>
        <w:tc>
          <w:tcPr>
            <w:tcW w:w="526"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909"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700"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2063"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087" w:type="dxa"/>
            <w:vMerge w:val="continue"/>
            <w:tcBorders>
              <w:top w:val="single" w:color="000000" w:sz="4" w:space="0"/>
              <w:left w:val="single" w:color="000000" w:sz="4" w:space="0"/>
              <w:bottom w:val="single" w:color="000000" w:sz="4" w:space="0"/>
              <w:right w:val="single" w:color="000000" w:sz="4" w:space="0"/>
            </w:tcBorders>
            <w:noWrap w:val="0"/>
            <w:vAlign w:val="center"/>
          </w:tcPr>
          <w:p>
            <w:pPr>
              <w:jc w:val="center"/>
              <w:rPr>
                <w:rFonts w:hint="eastAsia" w:ascii="宋体" w:hAnsi="宋体" w:eastAsia="宋体" w:cs="宋体"/>
                <w:i w:val="0"/>
                <w:iCs w:val="0"/>
                <w:color w:val="000000"/>
                <w:sz w:val="20"/>
                <w:szCs w:val="20"/>
                <w:u w:val="none"/>
              </w:rPr>
            </w:pP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综合单价（元）</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合价（元）</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其中人工费单价（元）</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人工费合价（元）</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22"/>
                <w:szCs w:val="22"/>
                <w:u w:val="none"/>
                <w:lang w:val="en-US" w:eastAsia="zh-CN" w:bidi="ar"/>
              </w:rPr>
              <w:t>引水管安装</w:t>
            </w:r>
          </w:p>
        </w:tc>
        <w:tc>
          <w:tcPr>
            <w:tcW w:w="1700"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18"/>
                <w:szCs w:val="18"/>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宋体" w:hAnsi="宋体" w:eastAsia="宋体" w:cs="宋体"/>
                <w:i w:val="0"/>
                <w:iCs w:val="0"/>
                <w:color w:val="000000"/>
                <w:kern w:val="0"/>
                <w:sz w:val="18"/>
                <w:szCs w:val="18"/>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宋体" w:hAnsi="宋体" w:eastAsia="宋体" w:cs="宋体"/>
                <w:i w:val="0"/>
                <w:iCs w:val="0"/>
                <w:color w:val="000000"/>
                <w:kern w:val="0"/>
                <w:sz w:val="18"/>
                <w:szCs w:val="18"/>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18"/>
                <w:szCs w:val="18"/>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18"/>
                <w:szCs w:val="18"/>
                <w:u w:val="none"/>
                <w:lang w:val="en-US" w:eastAsia="zh-CN" w:bidi="ar"/>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18"/>
                <w:szCs w:val="18"/>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18"/>
                <w:szCs w:val="18"/>
                <w:u w:val="none"/>
                <w:lang w:val="en-US" w:eastAsia="zh-CN" w:bidi="ar"/>
              </w:rPr>
            </w:pP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bookmarkStart w:id="0" w:name="OLE_LINK1" w:colFirst="1" w:colLast="1"/>
            <w:r>
              <w:rPr>
                <w:rFonts w:hint="eastAsia" w:ascii="宋体" w:hAnsi="宋体" w:eastAsia="宋体" w:cs="宋体"/>
                <w:i w:val="0"/>
                <w:iCs w:val="0"/>
                <w:color w:val="000000"/>
                <w:kern w:val="0"/>
                <w:sz w:val="22"/>
                <w:szCs w:val="22"/>
                <w:u w:val="none"/>
                <w:lang w:val="en-US" w:eastAsia="zh-CN" w:bidi="ar"/>
              </w:rPr>
              <w:t>1</w:t>
            </w:r>
          </w:p>
        </w:tc>
        <w:tc>
          <w:tcPr>
            <w:tcW w:w="17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1.材质及规格:钢丝网骨架管 DN80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2.连接形式:电熔连接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3.管道检验及试验要求:管道消毒冲洗</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87</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126150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25230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w:t>
            </w:r>
          </w:p>
        </w:tc>
        <w:tc>
          <w:tcPr>
            <w:tcW w:w="17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砌筑井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1.名称：砖砌圆形立式闸阀井D1200*H1200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2,做法：详见07MS101-2,P14,</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10800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720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2160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17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砌筑井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1.名称：砖砌圆形排气阀井D1200*H1500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2,做法：详见07MS101-2,P52</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3790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3790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758</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758</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w:t>
            </w:r>
          </w:p>
        </w:tc>
        <w:tc>
          <w:tcPr>
            <w:tcW w:w="17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砌筑井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1.名称：砖砌排泥湿井D800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2,做法：详见07MS101-2,P58</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5400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5400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1080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1080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w:t>
            </w:r>
          </w:p>
        </w:tc>
        <w:tc>
          <w:tcPr>
            <w:tcW w:w="17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阀门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1.种类:蝶阀升缩器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2.材质及规格:DN80,钢质</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3.连接方式:法兰连接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220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440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88</w:t>
            </w:r>
          </w:p>
        </w:tc>
      </w:tr>
      <w:tr>
        <w:tblPrEx>
          <w:tblCellMar>
            <w:top w:w="0" w:type="dxa"/>
            <w:left w:w="108" w:type="dxa"/>
            <w:bottom w:w="0" w:type="dxa"/>
            <w:right w:w="108" w:type="dxa"/>
          </w:tblCellMar>
        </w:tblPrEx>
        <w:trPr>
          <w:trHeight w:val="634" w:hRule="atLeast"/>
        </w:trPr>
        <w:tc>
          <w:tcPr>
            <w:tcW w:w="14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w:t>
            </w:r>
          </w:p>
        </w:tc>
        <w:tc>
          <w:tcPr>
            <w:tcW w:w="17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阀门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1.种类:蝶阀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2.材质及规格:DN80,球墨铸铁</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3.连接方式:法兰连接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123</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246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24.6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49.2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22"/>
                <w:szCs w:val="22"/>
                <w:u w:val="none"/>
                <w:lang w:val="en-US" w:eastAsia="zh-CN" w:bidi="ar"/>
              </w:rPr>
              <w:t>7</w:t>
            </w:r>
          </w:p>
        </w:tc>
        <w:tc>
          <w:tcPr>
            <w:tcW w:w="17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22"/>
                <w:szCs w:val="22"/>
                <w:u w:val="none"/>
                <w:lang w:val="en-US" w:eastAsia="zh-CN" w:bidi="ar"/>
              </w:rPr>
              <w:t>阀门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22"/>
                <w:szCs w:val="22"/>
                <w:u w:val="none"/>
                <w:lang w:val="en-US" w:eastAsia="zh-CN" w:bidi="ar"/>
              </w:rPr>
              <w:t>1.种类:排气阀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2.材质及规格:DN50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3.连接方式:法兰连接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w:t>
            </w:r>
          </w:p>
        </w:tc>
        <w:tc>
          <w:tcPr>
            <w:tcW w:w="1700"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阀门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1.种类:排泥闸阀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2.材质及规格:DN75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3.连接方式:法兰连接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242</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242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48.4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48.4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法兰</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1.材质、规格、结构形式:钢质平焊法兰 DN80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102</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816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163.2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法兰</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1.材质、规格、结构形式:钢质平焊法兰 DN75</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102</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204</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40.8</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法兰</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1.材质、规格、结构形式:钢质平焊法兰 DN50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71</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14.2</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28.4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钢管管件制作、安装</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1.种类:三通</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2.材质及规格:钢质DN80*DN75</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93</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93</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盲堵板制作、安装</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1.材质及规格:盲板</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2.连接方式:钢质DN80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82</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164</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32.8</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钢管管件制作、安装</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1.种类:盘插短管</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2.材质及规格:钢质DN80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93</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558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111.6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混凝土支墩</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1.混凝土强度等级:C20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725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1399.25</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145</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279.85</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挖沟槽土方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1.土壤类别:综合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2.挖土深度:2m 内</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2461.98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492.4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回填方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1.填方材料品种:中粗砂</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156</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32256.12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31.2</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6451.22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回填方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1.密实度要求:夯填</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2.填方材料品种:土夹石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3.运距:5km以内</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22444.57</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4488.91</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室外附属</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宋体" w:hAnsi="宋体" w:eastAsia="宋体" w:cs="宋体"/>
                <w:i w:val="0"/>
                <w:iCs w:val="0"/>
                <w:color w:val="000000"/>
                <w:kern w:val="0"/>
                <w:sz w:val="22"/>
                <w:szCs w:val="22"/>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ign w:val="center"/>
          </w:tcPr>
          <w:p>
            <w:pPr>
              <w:rPr>
                <w:rFonts w:hint="default" w:ascii="宋体" w:hAnsi="宋体" w:eastAsia="宋体" w:cs="宋体"/>
                <w:i w:val="0"/>
                <w:iCs w:val="0"/>
                <w:color w:val="000000"/>
                <w:kern w:val="0"/>
                <w:sz w:val="22"/>
                <w:szCs w:val="22"/>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rPr>
                <w:rFonts w:hint="default"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19</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石基础</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1.石料种类、规格:平毛石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2.石表面加工要求:石表面加工修整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3.砂浆强度等级:水泥砂浆M10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4.部位:围墙基础</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430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174924</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34984.8</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墙面勾缝</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1.勾缝类型:勾凸缝</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2.勾缝材料种类:1:3水泥砂浆</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m2</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27</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5029.02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1005.8</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带形基础</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1.混凝土种类:商品混凝土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2.混凝土强度等级:C25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3.围墙基础</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570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4782.3</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956.46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22</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带形基础</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1.混凝土种类:毛石混凝土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2.混凝土强度等级:C25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3.挡土墙基础</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530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16975.9</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3395.18</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23</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挡土墙</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1.混凝土种类:商品混凝土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2.混凝土强度等级:C25</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565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11390.4</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113</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2278.08</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24</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22"/>
                <w:szCs w:val="22"/>
                <w:u w:val="none"/>
                <w:lang w:val="en-US" w:eastAsia="zh-CN" w:bidi="ar"/>
              </w:rPr>
              <w:t>实心砖墙</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22"/>
                <w:szCs w:val="22"/>
                <w:u w:val="none"/>
                <w:lang w:val="en-US" w:eastAsia="zh-CN" w:bidi="ar"/>
              </w:rPr>
              <w:t>1.砖品种、规格、强度等级:240*115*53mm 粘土实心砖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2.墙体类型:围墙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3.砂浆强度等级、配合比:水泥砂浆M10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525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54253.5</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105</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10850.7</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25</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墙面一般抹灰</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1.墙体类型:砖砌围墙</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2.底层厚度、砂浆配合比:14厚1:3水泥砂浆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3.面层厚度、砂浆配合比:6厚1:3水泥砂浆</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m2</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52</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56474.6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11294.92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26</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抹灰面油漆</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1.基层类型:一般抹灰面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2.油漆品种、刷漆遍数:真石漆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3.部位:围墙</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m2</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78</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84711.9</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default"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16942.38</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27</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瓦屋面</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1.瓦品种、规格:小青瓦</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2.粘结层砂浆的配合比:1:3水泥砂浆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3.部位:砖砌围墙</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m2</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112</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19867.68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22.4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3973.54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28</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屋脊</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1.小青瓦屋脊</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2.部位:砖砌围墙</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66</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11707.74</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13.2</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2341.55</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29</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排水沟</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1.断面尺寸:沟壁240mm，渠口深300mm、渠口宽260mm(详18J812-5-2a（18b）图集)</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2.基础、垫层：材料品种、厚度:100厚C15混凝土垫层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3.砌体材料:粘土砖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4.砂浆强度等级:水泥砂浆M5.0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5.盖板材质、规格:预制钢筋混凝土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6.围墙外排水沟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7.包含排水沟基础土方开挖</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172</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30511.08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34.4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6102.22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水泥混凝土</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1.220厚C30混凝土面层分块捣制，随打随抹平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2.每块长度不大于 6m，缝宽20mm，沥青沙子或沥青处理的松木条嵌缝</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3.320厚水泥稳定层（水泥含量 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4.150 厚碎石基底</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5.路基碾压、压实系教大于94%(环刀取样)</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m2</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275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2324412.75</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55</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464882.55</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化粪池</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1.详图集:砖砌化粪池(02S701) 3号(6m3) 无地下水、无覆土</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17000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17000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3400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3400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32</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化粪池</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1.详图集:砖砌化粪池(02S701) 4号(9m3) 无地下水、无覆土</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21400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21400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4280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4280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33</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借土回填</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1.密实度要求:按设计及技术要求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2.品种:土夹石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3.运距:5km以内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4.部位:场地土方回填</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43</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3181514.1</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636302.82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34</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借土回填</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1.密实度要求:按设计及技术要求</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2.品种:土夹石</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3.运距:5km以内</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4.部位:围墙外土方回填</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6300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1260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室外管网排水系统</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rPr>
                <w:rFonts w:ascii="宋体" w:hAnsi="宋体" w:eastAsia="宋体" w:cs="宋体"/>
                <w:i w:val="0"/>
                <w:iCs w:val="0"/>
                <w:color w:val="000000"/>
                <w:kern w:val="0"/>
                <w:sz w:val="22"/>
                <w:szCs w:val="22"/>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kern w:val="0"/>
                <w:sz w:val="22"/>
                <w:szCs w:val="22"/>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35</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2.介质:污水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3.材质、规格:HDPE双波峰加筋增强缠绕结构壁排水管 DN300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5.压力试验及吹、洗设计要求:管道闭水试验</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154</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81382.84</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30.8</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16276.57</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2.介质:污水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3.材质、规格:HDPE双波峰加筋增强缠绕结构壁排水管 DN200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5.压力试验及吹、洗设计要求:管道闭水试验</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106</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10469.62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21.2</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2093.92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砖检查井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1.井截面、深度:700砖砌污水检查井，平均深度1.6米</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1280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51200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256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10240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38</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混凝土构件拆除</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1.构件名称:原场地地坪</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2.外运1km</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106</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1075.9</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21.2</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215.18</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39</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挖沟槽土方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1.土壤类别:三类土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2.挖土深度:平均深度按1米计算</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10400.25</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2080.05</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回填方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1.密实度要求:原土夯填</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4.8</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16640.06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0.96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3328.01</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挖沟槽土方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1.土壤类别:三类土</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2.挖土深度:平均1米</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578.2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0.7</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115.64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42</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回填方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1.密实度要求:人工回填砂垫层</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174</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4311.72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34.8</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862.34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43</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回填方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1.密实度要求:人工填土夯实</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44</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6178.48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8.8</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1235.7</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雨水系统</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rPr>
                <w:rFonts w:ascii="宋体" w:hAnsi="宋体" w:eastAsia="宋体" w:cs="宋体"/>
                <w:i w:val="0"/>
                <w:iCs w:val="0"/>
                <w:color w:val="000000"/>
                <w:kern w:val="0"/>
                <w:sz w:val="22"/>
                <w:szCs w:val="22"/>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kern w:val="0"/>
                <w:sz w:val="22"/>
                <w:szCs w:val="22"/>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44</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2.介质:雨水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3.材质、规格:HDPE双波峰加筋增强缠绕结构壁排水管 DN400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5.压力试验及吹、洗设计要求:管道闭水试验</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74136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14827.2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45</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2.介质:雨水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3.材质、规格:HDPE双波峰加筋增强缠绕结构壁排水管 DN300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5.压力试验及吹、洗设计要求:管道闭水试验</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154</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10182.48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30.8</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2036.5</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46</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2.介质:污水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3.材质、规格:HDPE双波峰加筋增强缠绕结构壁排水管 DN200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5.压力试验及吹、洗设计要求:管道闭水试验</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106</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6476.6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21.2</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1295.32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47</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砖检查井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1.井截面、深度:700砖砌污水检查井，平均深度1.6米</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1280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26880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256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5376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48</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雨水口</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1.雨水箅子及圈口材质、型号、规格:单篦平篦式雨水口</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820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18860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3772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室外消火栓系统</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rPr>
                <w:rFonts w:ascii="宋体" w:hAnsi="宋体" w:eastAsia="宋体" w:cs="宋体"/>
                <w:i w:val="0"/>
                <w:iCs w:val="0"/>
                <w:color w:val="000000"/>
                <w:kern w:val="0"/>
                <w:sz w:val="22"/>
                <w:szCs w:val="22"/>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kern w:val="0"/>
                <w:sz w:val="22"/>
                <w:szCs w:val="22"/>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49</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2.介质:消防水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3.材质、规格:钢丝网骨架管 DN200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5.压力试验及吹、洗设计要求:管道消毒冲洗</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126164.48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25232.9</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2.介质:自来水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3.材质、规格:钢丝网骨架管 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5.压力试验及吹、洗设计要求:管道消毒冲洗</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3848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769.6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51</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室外消火栓</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1.安装方式:地上室消火栓</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2.型号、规格:DN100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1345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5380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269</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1076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52</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焊接法兰阀门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1.类型:闸阀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2.规格、压力等级:DN200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3.连接形式:法兰连接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670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4020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804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53</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法兰</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1.材质:碳钢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2.规格、压力等级:DN200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3.连接形式:焊接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副</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330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1980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396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54</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砌筑井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1.名称：砖砌圆形立式闸阀井D1200*H1800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2,做法：详见05S502-16</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3800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11400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760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2280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喷淋主干管</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rPr>
                <w:rFonts w:ascii="宋体" w:hAnsi="宋体" w:eastAsia="宋体" w:cs="宋体"/>
                <w:i w:val="0"/>
                <w:iCs w:val="0"/>
                <w:color w:val="000000"/>
                <w:kern w:val="0"/>
                <w:sz w:val="22"/>
                <w:szCs w:val="22"/>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kern w:val="0"/>
                <w:sz w:val="22"/>
                <w:szCs w:val="22"/>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55</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2.介质:消防水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3.材质、规格:钢丝网骨架管 DN200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5.压力试验及吹、洗设计要求:管道消毒冲洗</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106208.96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21241.79</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56</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焊接法兰阀门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1.类型:闸阀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2.规格、压力等级:DN200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3.连接形式:法兰连接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670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2680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536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57</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法兰</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1.材质:碳钢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2.规格、压力等级:DN200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3.连接形式:焊接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副</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330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1320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264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58</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消防水泵接合器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1.安装部位:室外地上式</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2.型号、规格:SQS150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套</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1740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5220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348</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1044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59</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砌筑井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1.名称：砖砌圆形立式闸阀井D1200*H1800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2,做法：详见05S502-16</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3800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7600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760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1520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消火栓主干管</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rPr>
                <w:rFonts w:ascii="宋体" w:hAnsi="宋体" w:eastAsia="宋体" w:cs="宋体"/>
                <w:i w:val="0"/>
                <w:iCs w:val="0"/>
                <w:color w:val="000000"/>
                <w:kern w:val="0"/>
                <w:sz w:val="22"/>
                <w:szCs w:val="22"/>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kern w:val="0"/>
                <w:sz w:val="22"/>
                <w:szCs w:val="22"/>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2.介质:消防水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3.材质、规格:钢丝网骨架管 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5.压力试验及吹、洗设计要求:管道消毒冲洗</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86353.28</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17270.66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61</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焊接法兰阀门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1.类型:闸阀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2.规格、压力等级:DN150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3.连接形式:法兰连接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3030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101</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606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62</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法兰</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1.材质:碳钢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2.规格、压力等级:DN150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3.连接形式:焊接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副</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250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300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63</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砌筑井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1.名称：砖砌圆形立式闸阀井D1200*H1500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2,做法：详见05S502-16</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3750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7500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750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1500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给水系统</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rPr>
                <w:rFonts w:ascii="宋体" w:hAnsi="宋体" w:eastAsia="宋体" w:cs="宋体"/>
                <w:i w:val="0"/>
                <w:iCs w:val="0"/>
                <w:color w:val="000000"/>
                <w:kern w:val="0"/>
                <w:sz w:val="22"/>
                <w:szCs w:val="22"/>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kern w:val="0"/>
                <w:sz w:val="22"/>
                <w:szCs w:val="22"/>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64</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2.介质:自来水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3.材质、规格:钢丝网骨架管 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4.连接形式:热熔连接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5.压力试验及吹、洗设计要求:管道消毒冲洗</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208</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111554.56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41.6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22310.91</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65</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水表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1.安装部位(室内外）:室外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2.型号、规格:DN150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3.连接形式:法兰连接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4.附件配置:2闸阀1Y1防回流污染止回阀</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组</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4300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4300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860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860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66</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焊接法兰阀门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1.类型:闸阀</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2.规格、压力等级:DN150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3.连接形式:法兰连接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1010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101</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202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67</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法兰</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1.材质:碳钢</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2.规格、压力等级:DN150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3.连接形式:焊接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副</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250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100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68</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砌筑井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1.类型:砖砌矩形水表井,做法详见05S502-43,2750*1300*1400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8400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8400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1680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1680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69</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砌筑井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1.名称：砖砌圆形立式闸阀井D1200*H1500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2,做法：详见05S502-16</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3750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3750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750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750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景观给水</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rPr>
                <w:rFonts w:ascii="宋体" w:hAnsi="宋体" w:eastAsia="宋体" w:cs="宋体"/>
                <w:i w:val="0"/>
                <w:iCs w:val="0"/>
                <w:color w:val="000000"/>
                <w:kern w:val="0"/>
                <w:sz w:val="22"/>
                <w:szCs w:val="22"/>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kern w:val="0"/>
                <w:sz w:val="22"/>
                <w:szCs w:val="22"/>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70</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2.介质:绿化用水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3.材质、规格:PE管，DN50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4.连接形式:电熔连接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35</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3206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641.2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71</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2.介质:绿化用水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3.材质、规格:PE管，DN40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4.连接形式:电熔连接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27</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2267.46</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453.49</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72</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2.介质:绿化用水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3.材质、规格:PE管，DN32</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4.连接形式:电熔连接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594.09</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4.2</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118.82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73</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塑料管</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2.介质:绿化用水</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3.材质、规格:PE管，DN25</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4.连接形式:电熔连接</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16</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667.04</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3.2</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133.41</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74</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水表</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1.安装部位(室内外）:室外</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2.型号、规格:DN50</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3.连接形式:法兰连接</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4.附件配置:Y1柔1闸2双止回倒流防止器1</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组</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1820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1820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364</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364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75</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砌筑井</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1.类型:砖砌矩形水表井,做法详见05S502-43,2150*1100*1400</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座</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6900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6900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1380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1380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76</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喷灌配件安装</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1.管道附件、阀门、喷头品种、规格:快整取水阀DN25</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个</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240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2160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48</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432</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77</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挖沟槽土方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1.土壤类别:综合</w:t>
            </w:r>
            <w:r>
              <w:rPr>
                <w:rFonts w:hint="eastAsia" w:ascii="宋体" w:hAnsi="宋体" w:eastAsia="宋体" w:cs="宋体"/>
                <w:i w:val="0"/>
                <w:iCs w:val="0"/>
                <w:color w:val="000000"/>
                <w:kern w:val="0"/>
                <w:sz w:val="22"/>
                <w:szCs w:val="22"/>
                <w:u w:val="none"/>
                <w:lang w:val="en-US" w:eastAsia="zh-CN" w:bidi="ar"/>
              </w:rPr>
              <w:br w:type="textWrapping"/>
            </w:r>
            <w:r>
              <w:rPr>
                <w:rFonts w:hint="eastAsia" w:ascii="宋体" w:hAnsi="宋体" w:eastAsia="宋体" w:cs="宋体"/>
                <w:i w:val="0"/>
                <w:iCs w:val="0"/>
                <w:color w:val="000000"/>
                <w:kern w:val="0"/>
                <w:sz w:val="22"/>
                <w:szCs w:val="22"/>
                <w:u w:val="none"/>
                <w:lang w:val="en-US" w:eastAsia="zh-CN" w:bidi="ar"/>
              </w:rPr>
              <w:t>2.挖土深度:1.2m 内</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2830.2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566.04</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78</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回填方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原土夯填</w:t>
            </w: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m3</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4.8</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4528.32</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0.96</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905.66</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79</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措施项目费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项</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185000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185000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37000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37000</w:t>
            </w:r>
          </w:p>
        </w:tc>
      </w:tr>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righ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80</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keepNext w:val="0"/>
              <w:keepLines w:val="0"/>
              <w:widowControl/>
              <w:suppressLineNumbers w:val="0"/>
              <w:jc w:val="left"/>
              <w:textAlignment w:val="center"/>
              <w:rPr>
                <w:rFonts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其他项目费</w:t>
            </w: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rPr>
                <w:rFonts w:ascii="宋体" w:hAnsi="宋体" w:eastAsia="宋体" w:cs="宋体"/>
                <w:i w:val="0"/>
                <w:iCs w:val="0"/>
                <w:color w:val="000000"/>
                <w:kern w:val="0"/>
                <w:sz w:val="22"/>
                <w:szCs w:val="22"/>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项</w:t>
            </w:r>
          </w:p>
        </w:tc>
        <w:tc>
          <w:tcPr>
            <w:tcW w:w="1075"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331000</w:t>
            </w: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331000</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66200</w:t>
            </w: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66200</w:t>
            </w:r>
          </w:p>
        </w:tc>
      </w:tr>
      <w:bookmarkEnd w:id="0"/>
      <w:tr>
        <w:tblPrEx>
          <w:tblCellMar>
            <w:top w:w="0" w:type="dxa"/>
            <w:left w:w="108" w:type="dxa"/>
            <w:bottom w:w="0" w:type="dxa"/>
            <w:right w:w="108" w:type="dxa"/>
          </w:tblCellMar>
        </w:tblPrEx>
        <w:trPr>
          <w:trHeight w:val="500" w:hRule="atLeast"/>
        </w:trPr>
        <w:tc>
          <w:tcPr>
            <w:tcW w:w="1435" w:type="dxa"/>
            <w:gridSpan w:val="2"/>
            <w:tcBorders>
              <w:top w:val="single" w:color="000000" w:sz="4" w:space="0"/>
              <w:left w:val="single" w:color="000000" w:sz="4" w:space="0"/>
              <w:bottom w:val="single" w:color="000000" w:sz="4" w:space="0"/>
              <w:right w:val="single" w:color="000000" w:sz="4" w:space="0"/>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合计</w:t>
            </w:r>
          </w:p>
        </w:tc>
        <w:tc>
          <w:tcPr>
            <w:tcW w:w="1700" w:type="dxa"/>
            <w:tcBorders>
              <w:top w:val="single" w:color="000000" w:sz="4" w:space="0"/>
              <w:left w:val="single" w:color="000000" w:sz="4" w:space="0"/>
              <w:bottom w:val="single" w:color="000000" w:sz="4" w:space="0"/>
              <w:right w:val="single" w:color="000000" w:sz="4" w:space="0"/>
            </w:tcBorders>
            <w:shd w:val="clear" w:color="FFFFFF" w:fill="FFFFFF"/>
            <w:noWrap w:val="0"/>
            <w:vAlign w:val="center"/>
          </w:tcPr>
          <w:p>
            <w:pPr>
              <w:jc w:val="both"/>
              <w:rPr>
                <w:rFonts w:hint="eastAsia" w:ascii="宋体" w:hAnsi="宋体" w:eastAsia="宋体" w:cs="宋体"/>
                <w:i w:val="0"/>
                <w:iCs w:val="0"/>
                <w:color w:val="000000"/>
                <w:kern w:val="0"/>
                <w:sz w:val="18"/>
                <w:szCs w:val="18"/>
                <w:u w:val="none"/>
                <w:lang w:val="en-US" w:eastAsia="zh-CN" w:bidi="ar"/>
              </w:rPr>
            </w:pPr>
          </w:p>
        </w:tc>
        <w:tc>
          <w:tcPr>
            <w:tcW w:w="2063" w:type="dxa"/>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宋体" w:hAnsi="宋体" w:eastAsia="宋体" w:cs="宋体"/>
                <w:i w:val="0"/>
                <w:iCs w:val="0"/>
                <w:color w:val="000000"/>
                <w:kern w:val="0"/>
                <w:sz w:val="18"/>
                <w:szCs w:val="18"/>
                <w:u w:val="none"/>
                <w:lang w:val="en-US" w:eastAsia="zh-CN" w:bidi="ar"/>
              </w:rPr>
            </w:pPr>
          </w:p>
        </w:tc>
        <w:tc>
          <w:tcPr>
            <w:tcW w:w="1087" w:type="dxa"/>
            <w:tcBorders>
              <w:top w:val="single" w:color="000000" w:sz="4" w:space="0"/>
              <w:left w:val="single" w:color="000000" w:sz="4" w:space="0"/>
              <w:bottom w:val="single" w:color="000000" w:sz="4" w:space="0"/>
              <w:right w:val="single" w:color="000000" w:sz="4" w:space="0"/>
            </w:tcBorders>
            <w:noWrap w:val="0"/>
            <w:vAlign w:val="center"/>
          </w:tcPr>
          <w:p>
            <w:pPr>
              <w:jc w:val="both"/>
              <w:rPr>
                <w:rFonts w:hint="eastAsia" w:ascii="宋体" w:hAnsi="宋体" w:eastAsia="宋体" w:cs="宋体"/>
                <w:i w:val="0"/>
                <w:iCs w:val="0"/>
                <w:color w:val="000000"/>
                <w:kern w:val="0"/>
                <w:sz w:val="18"/>
                <w:szCs w:val="18"/>
                <w:u w:val="none"/>
                <w:lang w:val="en-US" w:eastAsia="zh-CN" w:bidi="ar"/>
              </w:rPr>
            </w:pPr>
          </w:p>
        </w:tc>
        <w:tc>
          <w:tcPr>
            <w:tcW w:w="1075" w:type="dxa"/>
            <w:tcBorders>
              <w:top w:val="single" w:color="000000" w:sz="4" w:space="0"/>
              <w:left w:val="single" w:color="000000" w:sz="4" w:space="0"/>
              <w:bottom w:val="single" w:color="000000" w:sz="4" w:space="0"/>
              <w:right w:val="single" w:color="000000" w:sz="4" w:space="0"/>
            </w:tcBorders>
            <w:noWrap/>
            <w:vAlign w:val="center"/>
          </w:tcPr>
          <w:p>
            <w:pPr>
              <w:rPr>
                <w:rFonts w:hint="eastAsia" w:ascii="宋体" w:hAnsi="宋体" w:eastAsia="宋体" w:cs="宋体"/>
                <w:i w:val="0"/>
                <w:iCs w:val="0"/>
                <w:color w:val="000000"/>
                <w:kern w:val="0"/>
                <w:sz w:val="18"/>
                <w:szCs w:val="18"/>
                <w:u w:val="none"/>
                <w:lang w:val="en-US" w:eastAsia="zh-CN" w:bidi="ar"/>
              </w:rPr>
            </w:pPr>
          </w:p>
        </w:tc>
        <w:tc>
          <w:tcPr>
            <w:tcW w:w="1338"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7592534.43</w:t>
            </w:r>
          </w:p>
        </w:tc>
        <w:tc>
          <w:tcPr>
            <w:tcW w:w="1025" w:type="dxa"/>
            <w:tcBorders>
              <w:top w:val="single" w:color="000000" w:sz="4" w:space="0"/>
              <w:left w:val="single" w:color="000000" w:sz="4" w:space="0"/>
              <w:bottom w:val="single" w:color="000000" w:sz="4" w:space="0"/>
              <w:right w:val="single" w:color="000000" w:sz="4" w:space="0"/>
            </w:tcBorders>
            <w:noWrap w:val="0"/>
            <w:vAlign w:val="center"/>
          </w:tcPr>
          <w:p>
            <w:pPr>
              <w:rPr>
                <w:rFonts w:hint="eastAsia" w:ascii="宋体" w:hAnsi="宋体" w:eastAsia="宋体" w:cs="宋体"/>
                <w:i w:val="0"/>
                <w:iCs w:val="0"/>
                <w:color w:val="000000"/>
                <w:kern w:val="0"/>
                <w:sz w:val="22"/>
                <w:szCs w:val="22"/>
                <w:u w:val="none"/>
                <w:lang w:val="en-US" w:eastAsia="zh-CN" w:bidi="ar"/>
              </w:rPr>
            </w:pPr>
          </w:p>
        </w:tc>
        <w:tc>
          <w:tcPr>
            <w:tcW w:w="1562" w:type="dxa"/>
            <w:tcBorders>
              <w:top w:val="single" w:color="000000" w:sz="4" w:space="0"/>
              <w:left w:val="single" w:color="000000" w:sz="4" w:space="0"/>
              <w:bottom w:val="single" w:color="000000" w:sz="4" w:space="0"/>
              <w:right w:val="single" w:color="000000" w:sz="4" w:space="0"/>
            </w:tcBorders>
            <w:noWrap w:val="0"/>
            <w:vAlign w:val="center"/>
          </w:tcPr>
          <w:p>
            <w:pPr>
              <w:keepNext w:val="0"/>
              <w:keepLines w:val="0"/>
              <w:widowControl/>
              <w:suppressLineNumbers w:val="0"/>
              <w:jc w:val="right"/>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1518506.89</w:t>
            </w:r>
          </w:p>
        </w:tc>
      </w:tr>
    </w:tbl>
    <w:p>
      <w:pPr>
        <w:numPr>
          <w:ilvl w:val="0"/>
          <w:numId w:val="0"/>
        </w:numPr>
        <w:rPr>
          <w:rFonts w:hint="eastAsia"/>
          <w:b/>
        </w:rPr>
      </w:pPr>
      <w:bookmarkStart w:id="1" w:name="_GoBack"/>
      <w:bookmarkEnd w:id="1"/>
    </w:p>
    <w:p/>
    <w:p>
      <w:pPr>
        <w:rPr>
          <w:b/>
        </w:rPr>
      </w:pPr>
      <w:r>
        <w:rPr>
          <w:rFonts w:hint="eastAsia"/>
          <w:b/>
        </w:rPr>
        <w:t>三、投标人资格要求：</w:t>
      </w:r>
    </w:p>
    <w:p/>
    <w:p>
      <w:pPr>
        <w:ind w:firstLine="420" w:firstLineChars="200"/>
        <w:rPr>
          <w:rFonts w:hint="eastAsia"/>
          <w:lang w:val="en-US" w:eastAsia="zh-CN"/>
        </w:rPr>
      </w:pPr>
      <w:r>
        <w:rPr>
          <w:rFonts w:hint="eastAsia"/>
        </w:rPr>
        <w:t>投标人资质要求</w:t>
      </w:r>
    </w:p>
    <w:p>
      <w:pPr>
        <w:ind w:firstLine="420" w:firstLineChars="200"/>
        <w:rPr>
          <w:rFonts w:hint="eastAsia"/>
        </w:rPr>
      </w:pPr>
      <w:r>
        <w:rPr>
          <w:rFonts w:hint="eastAsia"/>
          <w:lang w:val="en-US" w:eastAsia="zh-CN"/>
        </w:rPr>
        <w:t>1. 具有合法独立经营法人资格，且财务状况良好、无不良业绩记录、具有</w:t>
      </w:r>
      <w:r>
        <w:rPr>
          <w:rFonts w:hint="eastAsia" w:ascii="宋体" w:hAnsi="宋体" w:eastAsia="宋体" w:cs="Times New Roman"/>
          <w:color w:val="auto"/>
          <w:szCs w:val="22"/>
          <w:highlight w:val="none"/>
          <w:u w:val="single"/>
          <w:lang w:val="en-US" w:eastAsia="zh-CN"/>
        </w:rPr>
        <w:t xml:space="preserve"> 建筑工程施工总承包叁级及以上资质</w:t>
      </w:r>
      <w:r>
        <w:rPr>
          <w:rFonts w:hint="eastAsia"/>
        </w:rPr>
        <w:t xml:space="preserve">；拟派往本工程项目施工负责人工经验；管理人员和各工种作业人员持证率须达到100% ； </w:t>
      </w:r>
    </w:p>
    <w:p>
      <w:pPr>
        <w:ind w:firstLine="420" w:firstLineChars="200"/>
        <w:rPr>
          <w:rFonts w:hint="eastAsia"/>
        </w:rPr>
      </w:pPr>
      <w:r>
        <w:rPr>
          <w:rFonts w:hint="eastAsia"/>
        </w:rPr>
        <w:t>2. 经招标人资格预审，投标人均符合资格预审的有关规定条件，可以参加本工程劳务分包项目的投标。</w:t>
      </w:r>
    </w:p>
    <w:p/>
    <w:p>
      <w:r>
        <w:rPr>
          <w:rFonts w:hint="eastAsia"/>
        </w:rPr>
        <w:t>（二）财务要求</w:t>
      </w:r>
    </w:p>
    <w:p/>
    <w:p>
      <w:r>
        <w:rPr>
          <w:rFonts w:hint="eastAsia"/>
        </w:rPr>
        <w:t>具有良好的商业信誉和健全的财务会计制度。</w:t>
      </w:r>
    </w:p>
    <w:p/>
    <w:p>
      <w:r>
        <w:rPr>
          <w:rFonts w:hint="eastAsia"/>
        </w:rPr>
        <w:t>（三）信誉要求</w:t>
      </w:r>
    </w:p>
    <w:p/>
    <w:p>
      <w:r>
        <w:rPr>
          <w:rFonts w:hint="eastAsia"/>
        </w:rPr>
        <w:t>1．投标人在过去3年中在云南省建设领域内不曾在任何合同中违约或被驱逐，或因投标人自身的原因而使任何被解除或因不良业绩被云南省各级主管部门通报。</w:t>
      </w:r>
    </w:p>
    <w:p/>
    <w:p>
      <w:r>
        <w:rPr>
          <w:rFonts w:hint="eastAsia"/>
        </w:rPr>
        <w:t>2．投标人没有正受到责令停业的行政处罚或正处于财务被接管、冻结、破产的状态。</w:t>
      </w:r>
    </w:p>
    <w:p/>
    <w:p>
      <w:r>
        <w:rPr>
          <w:rFonts w:hint="eastAsia"/>
        </w:rPr>
        <w:t>3．投标人没有正受到取消投标资格的行政处罚。</w:t>
      </w:r>
    </w:p>
    <w:p/>
    <w:p>
      <w:r>
        <w:rPr>
          <w:rFonts w:hint="eastAsia"/>
        </w:rPr>
        <w:t>（四）投标人不存在《中华人民共和国招标投标法》、《中华人民共和国招标投标法实施条例》禁止投标的情形。</w:t>
      </w:r>
    </w:p>
    <w:p/>
    <w:p>
      <w:r>
        <w:rPr>
          <w:rFonts w:hint="eastAsia"/>
        </w:rPr>
        <w:t>（五）本项目不接受联合体投标。</w:t>
      </w:r>
    </w:p>
    <w:p/>
    <w:p>
      <w:r>
        <w:rPr>
          <w:rFonts w:hint="eastAsia"/>
          <w:b/>
          <w:bCs/>
          <w:lang w:val="en-US" w:eastAsia="zh-CN"/>
        </w:rPr>
        <w:t>四</w:t>
      </w:r>
      <w:r>
        <w:rPr>
          <w:rFonts w:hint="eastAsia"/>
          <w:b/>
          <w:bCs/>
        </w:rPr>
        <w:t>、投标方式</w:t>
      </w:r>
      <w:r>
        <w:rPr>
          <w:rFonts w:hint="eastAsia"/>
        </w:rPr>
        <w:t>：本次招标采用线上招标方式，投标人须在云南建投物流有限公司“云上营家”电子商务平台（https://www.inja.com）进行线上投标，投标人须遵守平台相关约定，严格按照相关流程完成线上投标。</w:t>
      </w:r>
    </w:p>
    <w:p/>
    <w:p>
      <w:pPr>
        <w:rPr>
          <w:b/>
        </w:rPr>
      </w:pPr>
      <w:r>
        <w:rPr>
          <w:rFonts w:hint="eastAsia"/>
          <w:b/>
          <w:lang w:val="en-US" w:eastAsia="zh-CN"/>
        </w:rPr>
        <w:t>五</w:t>
      </w:r>
      <w:r>
        <w:rPr>
          <w:rFonts w:hint="eastAsia"/>
          <w:b/>
        </w:rPr>
        <w:t>、报名要求</w:t>
      </w:r>
    </w:p>
    <w:p>
      <w:r>
        <w:rPr>
          <w:rFonts w:hint="eastAsia"/>
        </w:rPr>
        <w:t>报名截止时</w:t>
      </w:r>
      <w:r>
        <w:rPr>
          <w:rFonts w:hint="eastAsia"/>
          <w:highlight w:val="none"/>
        </w:rPr>
        <w:t>间为</w:t>
      </w:r>
      <w:r>
        <w:rPr>
          <w:rFonts w:hint="eastAsia"/>
          <w:highlight w:val="none"/>
          <w:lang w:val="en-US" w:eastAsia="zh-CN"/>
        </w:rPr>
        <w:t>2023</w:t>
      </w:r>
      <w:r>
        <w:rPr>
          <w:rFonts w:hint="eastAsia"/>
          <w:highlight w:val="none"/>
        </w:rPr>
        <w:t>年</w:t>
      </w:r>
      <w:r>
        <w:rPr>
          <w:rFonts w:hint="eastAsia"/>
          <w:highlight w:val="none"/>
          <w:lang w:val="en-US" w:eastAsia="zh-CN"/>
        </w:rPr>
        <w:t>6</w:t>
      </w:r>
      <w:r>
        <w:rPr>
          <w:rFonts w:hint="eastAsia"/>
          <w:highlight w:val="none"/>
        </w:rPr>
        <w:t>月</w:t>
      </w:r>
      <w:r>
        <w:rPr>
          <w:rFonts w:hint="eastAsia"/>
          <w:highlight w:val="none"/>
          <w:lang w:val="en-US" w:eastAsia="zh-CN"/>
        </w:rPr>
        <w:t>9</w:t>
      </w:r>
      <w:r>
        <w:rPr>
          <w:rFonts w:hint="eastAsia"/>
          <w:highlight w:val="none"/>
        </w:rPr>
        <w:t>日</w:t>
      </w:r>
      <w:r>
        <w:rPr>
          <w:rFonts w:hint="eastAsia"/>
          <w:highlight w:val="none"/>
          <w:lang w:val="en-US" w:eastAsia="zh-CN"/>
        </w:rPr>
        <w:t>9</w:t>
      </w:r>
      <w:r>
        <w:rPr>
          <w:rFonts w:hint="eastAsia"/>
          <w:highlight w:val="none"/>
        </w:rPr>
        <w:t>时</w:t>
      </w:r>
      <w:r>
        <w:rPr>
          <w:rFonts w:hint="eastAsia"/>
          <w:highlight w:val="none"/>
          <w:lang w:val="en-US" w:eastAsia="zh-CN"/>
        </w:rPr>
        <w:t>00分</w:t>
      </w:r>
      <w:r>
        <w:rPr>
          <w:rFonts w:hint="eastAsia"/>
          <w:highlight w:val="none"/>
        </w:rPr>
        <w:t xml:space="preserve"> ，</w:t>
      </w:r>
      <w:r>
        <w:rPr>
          <w:rFonts w:hint="eastAsia"/>
        </w:rPr>
        <w:t>自本公告发布</w:t>
      </w:r>
      <w:r>
        <w:rPr>
          <w:rFonts w:hint="eastAsia"/>
          <w:color w:val="FF0000"/>
        </w:rPr>
        <w:t>24</w:t>
      </w:r>
      <w:r>
        <w:rPr>
          <w:rFonts w:hint="eastAsia"/>
        </w:rPr>
        <w:t>小时内为报名公示期，投标人于报名截止时间结束前完成报名，未报名则不能参与后续招标报价；报名完成后按招标文件要求完成线上报价，报价时间另行通知，若未按时报价视为放弃报价权利。逾期未报名者视为放弃。</w:t>
      </w:r>
    </w:p>
    <w:p/>
    <w:p>
      <w:r>
        <w:rPr>
          <w:rFonts w:hint="eastAsia"/>
          <w:b/>
          <w:lang w:val="en-US" w:eastAsia="zh-CN"/>
        </w:rPr>
        <w:t>六</w:t>
      </w:r>
      <w:r>
        <w:rPr>
          <w:rFonts w:hint="eastAsia"/>
          <w:b/>
        </w:rPr>
        <w:t>、质量要求：</w:t>
      </w:r>
      <w:r>
        <w:rPr>
          <w:rFonts w:hint="eastAsia"/>
        </w:rPr>
        <w:t>工程质量标准必须符合现行国家有关工程施工质量验收规范和标准的要求，确保工程一次性验收合格。</w:t>
      </w:r>
    </w:p>
    <w:p>
      <w:pPr>
        <w:rPr>
          <w:highlight w:val="none"/>
        </w:rPr>
      </w:pPr>
    </w:p>
    <w:p>
      <w:pPr>
        <w:numPr>
          <w:ilvl w:val="0"/>
          <w:numId w:val="1"/>
        </w:numPr>
        <w:rPr>
          <w:rFonts w:hint="eastAsia"/>
        </w:rPr>
      </w:pPr>
      <w:r>
        <w:rPr>
          <w:rFonts w:hint="eastAsia"/>
          <w:b/>
          <w:highlight w:val="none"/>
        </w:rPr>
        <w:t>付款方式</w:t>
      </w:r>
      <w:r>
        <w:rPr>
          <w:b/>
          <w:highlight w:val="none"/>
        </w:rPr>
        <w:t>：</w:t>
      </w:r>
      <w:r>
        <w:rPr>
          <w:rFonts w:hint="eastAsia"/>
        </w:rPr>
        <w:t>本工程的进度款支付应结合总（分）包合同，甲方在收到发包人支付的工程款项后按每月审核确认乙方已完成工程量进行结算，按审核审定的已完成合格工程进度款的</w:t>
      </w:r>
      <w:r>
        <w:rPr>
          <w:rFonts w:hint="eastAsia"/>
          <w:lang w:val="en-US" w:eastAsia="zh-CN"/>
        </w:rPr>
        <w:t>80</w:t>
      </w:r>
      <w:r>
        <w:rPr>
          <w:rFonts w:hint="eastAsia"/>
        </w:rPr>
        <w:t>%进行支付；乙方完成现场施工内容和合同约定工作范围和内容后，提供相关的技术质量保证资料给</w:t>
      </w:r>
      <w:r>
        <w:rPr>
          <w:rFonts w:hint="eastAsia"/>
          <w:highlight w:val="none"/>
        </w:rPr>
        <w:t>甲方验收合格后进度款支付至</w:t>
      </w:r>
      <w:r>
        <w:rPr>
          <w:rFonts w:hint="eastAsia"/>
          <w:highlight w:val="none"/>
          <w:lang w:val="en-US" w:eastAsia="zh-CN"/>
        </w:rPr>
        <w:t>90</w:t>
      </w:r>
      <w:r>
        <w:rPr>
          <w:rFonts w:hint="eastAsia"/>
          <w:highlight w:val="none"/>
        </w:rPr>
        <w:t>%，项目竣工验收</w:t>
      </w:r>
      <w:r>
        <w:rPr>
          <w:rFonts w:hint="eastAsia"/>
          <w:highlight w:val="none"/>
          <w:lang w:val="en-US" w:eastAsia="zh-CN"/>
        </w:rPr>
        <w:t>合格</w:t>
      </w:r>
      <w:r>
        <w:rPr>
          <w:rFonts w:hint="eastAsia"/>
          <w:highlight w:val="none"/>
        </w:rPr>
        <w:t xml:space="preserve">、外部结算完成 </w:t>
      </w:r>
      <w:r>
        <w:rPr>
          <w:rFonts w:hint="eastAsia"/>
          <w:highlight w:val="none"/>
          <w:lang w:val="en-US" w:eastAsia="zh-CN"/>
        </w:rPr>
        <w:t>90</w:t>
      </w:r>
      <w:r>
        <w:rPr>
          <w:rFonts w:hint="eastAsia"/>
          <w:highlight w:val="none"/>
        </w:rPr>
        <w:t xml:space="preserve">天后工程款支付至 </w:t>
      </w:r>
      <w:r>
        <w:rPr>
          <w:rFonts w:hint="eastAsia"/>
          <w:highlight w:val="none"/>
          <w:lang w:val="en-US" w:eastAsia="zh-CN"/>
        </w:rPr>
        <w:t xml:space="preserve">97 </w:t>
      </w:r>
      <w:r>
        <w:rPr>
          <w:rFonts w:hint="eastAsia"/>
          <w:highlight w:val="none"/>
        </w:rPr>
        <w:t xml:space="preserve">%，剩余 </w:t>
      </w:r>
      <w:r>
        <w:rPr>
          <w:rFonts w:hint="eastAsia"/>
          <w:highlight w:val="none"/>
          <w:lang w:val="en-US" w:eastAsia="zh-CN"/>
        </w:rPr>
        <w:t>3</w:t>
      </w:r>
      <w:r>
        <w:rPr>
          <w:rFonts w:hint="eastAsia"/>
          <w:highlight w:val="none"/>
        </w:rPr>
        <w:t>%作为质量保修金，</w:t>
      </w:r>
      <w:r>
        <w:rPr>
          <w:rFonts w:hint="eastAsia"/>
        </w:rPr>
        <w:t xml:space="preserve">质保期 </w:t>
      </w:r>
      <w:r>
        <w:rPr>
          <w:rFonts w:hint="eastAsia"/>
          <w:lang w:val="en-US" w:eastAsia="zh-CN"/>
        </w:rPr>
        <w:t>2年</w:t>
      </w:r>
      <w:r>
        <w:rPr>
          <w:rFonts w:hint="eastAsia"/>
        </w:rPr>
        <w:t>满后，乙方全面履行保修责任，且没有质量缺陷和遗留问题责任存在，甲方一次性退还保修金，不计利息。</w:t>
      </w:r>
    </w:p>
    <w:p>
      <w:pPr>
        <w:rPr>
          <w:rFonts w:hint="eastAsia"/>
          <w:b/>
          <w:highlight w:val="none"/>
        </w:rPr>
      </w:pPr>
    </w:p>
    <w:p>
      <w:pPr>
        <w:tabs>
          <w:tab w:val="left" w:pos="360"/>
          <w:tab w:val="left" w:pos="540"/>
          <w:tab w:val="left" w:pos="1260"/>
          <w:tab w:val="left" w:pos="2340"/>
        </w:tabs>
        <w:rPr>
          <w:rFonts w:hint="eastAsia"/>
        </w:rPr>
      </w:pPr>
      <w:r>
        <w:rPr>
          <w:rFonts w:hint="eastAsia"/>
          <w:b/>
          <w:highlight w:val="none"/>
          <w:lang w:val="en-US" w:eastAsia="zh-CN"/>
        </w:rPr>
        <w:t>八</w:t>
      </w:r>
      <w:r>
        <w:rPr>
          <w:b/>
          <w:highlight w:val="none"/>
        </w:rPr>
        <w:t>、</w:t>
      </w:r>
      <w:r>
        <w:rPr>
          <w:rFonts w:hint="eastAsia"/>
          <w:b/>
          <w:bCs/>
        </w:rPr>
        <w:t>结算单流程</w:t>
      </w:r>
      <w:r>
        <w:rPr>
          <w:rFonts w:hint="eastAsia"/>
        </w:rPr>
        <w:t>：结算单由工长（或现场负责人）计算工程量</w:t>
      </w:r>
      <w:r>
        <w:rPr>
          <w:rFonts w:hint="eastAsia"/>
          <w:lang w:eastAsia="zh-CN"/>
        </w:rPr>
        <w:t>（</w:t>
      </w:r>
      <w:r>
        <w:rPr>
          <w:rFonts w:hint="eastAsia"/>
          <w:lang w:val="en-US" w:eastAsia="zh-CN"/>
        </w:rPr>
        <w:t>上月21日至本月20日工程量</w:t>
      </w:r>
      <w:r>
        <w:rPr>
          <w:rFonts w:hint="eastAsia"/>
          <w:lang w:eastAsia="zh-CN"/>
        </w:rPr>
        <w:t>）</w:t>
      </w:r>
      <w:r>
        <w:rPr>
          <w:rFonts w:hint="eastAsia"/>
        </w:rPr>
        <w:t>并签发→材料负责人确认材料的节超情况并签字→安全员对安全文明施工情况确认并签字→质检员对施工质量确认并签字→预算或成本员复核工程量及单价并确认签字→项目总工</w:t>
      </w:r>
      <w:r>
        <w:rPr>
          <w:rFonts w:hint="eastAsia"/>
          <w:lang w:val="en-US" w:eastAsia="zh-CN"/>
        </w:rPr>
        <w:t>复核</w:t>
      </w:r>
      <w:r>
        <w:rPr>
          <w:rFonts w:hint="eastAsia"/>
        </w:rPr>
        <w:t>→项目经理审核→</w:t>
      </w:r>
      <w:r>
        <w:rPr>
          <w:rFonts w:hint="eastAsia"/>
          <w:lang w:eastAsia="zh-CN"/>
        </w:rPr>
        <w:t>直管部</w:t>
      </w:r>
      <w:r>
        <w:rPr>
          <w:rFonts w:hint="eastAsia"/>
        </w:rPr>
        <w:t>主任经济师审核签字→</w:t>
      </w:r>
      <w:r>
        <w:rPr>
          <w:rFonts w:hint="eastAsia"/>
          <w:lang w:eastAsia="zh-CN"/>
        </w:rPr>
        <w:t>直管部</w:t>
      </w:r>
      <w:r>
        <w:rPr>
          <w:rFonts w:hint="eastAsia"/>
        </w:rPr>
        <w:t>经理批准，所有结算单必须由以上部门相关人员签字确认后，</w:t>
      </w:r>
      <w:r>
        <w:rPr>
          <w:rFonts w:hint="eastAsia"/>
          <w:lang w:eastAsia="zh-CN"/>
        </w:rPr>
        <w:t>直管部</w:t>
      </w:r>
      <w:r>
        <w:rPr>
          <w:rFonts w:hint="eastAsia"/>
        </w:rPr>
        <w:t>经理及分包方法定代表人或授权委托人双方签字确认方可生效</w:t>
      </w:r>
      <w:r>
        <w:rPr>
          <w:rFonts w:hint="eastAsia"/>
          <w:lang w:eastAsia="zh-CN"/>
        </w:rPr>
        <w:t>。</w:t>
      </w:r>
      <w:r>
        <w:rPr>
          <w:rFonts w:hint="eastAsia"/>
        </w:rPr>
        <w:t>最终结算单需经甲方公司</w:t>
      </w:r>
      <w:r>
        <w:rPr>
          <w:rFonts w:hint="eastAsia"/>
          <w:lang w:val="en-US" w:eastAsia="zh-CN"/>
        </w:rPr>
        <w:t>成本合约部</w:t>
      </w:r>
      <w:r>
        <w:rPr>
          <w:rFonts w:hint="eastAsia"/>
        </w:rPr>
        <w:t>审核确认。</w:t>
      </w:r>
    </w:p>
    <w:p>
      <w:pPr>
        <w:rPr>
          <w:highlight w:val="none"/>
        </w:rPr>
      </w:pPr>
    </w:p>
    <w:p>
      <w:pPr>
        <w:rPr>
          <w:highlight w:val="none"/>
        </w:rPr>
      </w:pPr>
    </w:p>
    <w:p>
      <w:pPr>
        <w:numPr>
          <w:ilvl w:val="0"/>
          <w:numId w:val="0"/>
        </w:numPr>
        <w:rPr>
          <w:rFonts w:hint="eastAsia"/>
          <w:highlight w:val="none"/>
          <w:lang w:val="en-US" w:eastAsia="zh-CN"/>
        </w:rPr>
      </w:pPr>
      <w:r>
        <w:rPr>
          <w:rFonts w:hint="eastAsia"/>
          <w:b/>
          <w:highlight w:val="none"/>
          <w:lang w:val="en-US" w:eastAsia="zh-CN"/>
        </w:rPr>
        <w:t>九、工程</w:t>
      </w:r>
      <w:r>
        <w:rPr>
          <w:b/>
          <w:highlight w:val="none"/>
        </w:rPr>
        <w:t>地点：</w:t>
      </w:r>
      <w:r>
        <w:rPr>
          <w:rFonts w:hint="eastAsia"/>
          <w:highlight w:val="none"/>
          <w:lang w:val="en-US" w:eastAsia="zh-CN"/>
        </w:rPr>
        <w:t>景东县文井镇</w:t>
      </w:r>
    </w:p>
    <w:p>
      <w:pPr>
        <w:widowControl w:val="0"/>
        <w:numPr>
          <w:ilvl w:val="0"/>
          <w:numId w:val="0"/>
        </w:numPr>
        <w:jc w:val="both"/>
        <w:rPr>
          <w:rFonts w:hint="default"/>
          <w:highlight w:val="yellow"/>
          <w:lang w:val="en-US" w:eastAsia="zh-CN"/>
        </w:rPr>
      </w:pPr>
    </w:p>
    <w:p/>
    <w:p>
      <w:r>
        <w:rPr>
          <w:rFonts w:hint="eastAsia"/>
          <w:b/>
        </w:rPr>
        <w:t>十</w:t>
      </w:r>
      <w:r>
        <w:rPr>
          <w:b/>
        </w:rPr>
        <w:t>、招标文件获取</w:t>
      </w:r>
      <w:r>
        <w:rPr>
          <w:rFonts w:hint="eastAsia"/>
        </w:rPr>
        <w:t>：投标人通过招标方资质审核后，在云南建投电子商务平台（https://www.inja.com）领取招标文件。</w:t>
      </w:r>
    </w:p>
    <w:p/>
    <w:p>
      <w:pPr>
        <w:rPr>
          <w:b/>
        </w:rPr>
      </w:pPr>
      <w:r>
        <w:rPr>
          <w:rFonts w:hint="eastAsia"/>
          <w:b/>
        </w:rPr>
        <w:t>十</w:t>
      </w:r>
      <w:r>
        <w:rPr>
          <w:rFonts w:hint="eastAsia"/>
          <w:b/>
          <w:lang w:val="en-US" w:eastAsia="zh-CN"/>
        </w:rPr>
        <w:t>一</w:t>
      </w:r>
      <w:r>
        <w:rPr>
          <w:rFonts w:hint="eastAsia"/>
          <w:b/>
        </w:rPr>
        <w:t>、开标时间及地点</w:t>
      </w:r>
    </w:p>
    <w:p/>
    <w:p>
      <w:r>
        <w:rPr>
          <w:rFonts w:hint="eastAsia"/>
        </w:rPr>
        <w:t>1.开标时间：正常情况在报名结束后</w:t>
      </w:r>
      <w:r>
        <w:rPr>
          <w:rFonts w:hint="eastAsia"/>
          <w:color w:val="FF0000"/>
        </w:rPr>
        <w:t>2天</w:t>
      </w:r>
      <w:r>
        <w:rPr>
          <w:rFonts w:hint="eastAsia"/>
        </w:rPr>
        <w:t>开标，以招标文件为准。</w:t>
      </w:r>
    </w:p>
    <w:p/>
    <w:p>
      <w:r>
        <w:rPr>
          <w:rFonts w:hint="eastAsia"/>
        </w:rPr>
        <w:t>2.地点：云南建投电子商务平台：</w:t>
      </w:r>
      <w:r>
        <w:fldChar w:fldCharType="begin"/>
      </w:r>
      <w:r>
        <w:instrText xml:space="preserve"> HYPERLINK "https://www.inja.com" </w:instrText>
      </w:r>
      <w:r>
        <w:fldChar w:fldCharType="separate"/>
      </w:r>
      <w:r>
        <w:rPr>
          <w:rStyle w:val="9"/>
          <w:rFonts w:hint="eastAsia"/>
        </w:rPr>
        <w:t>https://www.inja.com</w:t>
      </w:r>
      <w:r>
        <w:rPr>
          <w:rStyle w:val="9"/>
          <w:rFonts w:hint="eastAsia"/>
        </w:rPr>
        <w:fldChar w:fldCharType="end"/>
      </w:r>
    </w:p>
    <w:p/>
    <w:p>
      <w:pPr>
        <w:rPr>
          <w:b/>
        </w:rPr>
      </w:pPr>
      <w:r>
        <w:rPr>
          <w:rFonts w:hint="eastAsia"/>
          <w:b/>
        </w:rPr>
        <w:t>十</w:t>
      </w:r>
      <w:r>
        <w:rPr>
          <w:rFonts w:hint="eastAsia"/>
          <w:b/>
          <w:lang w:val="en-US" w:eastAsia="zh-CN"/>
        </w:rPr>
        <w:t>二</w:t>
      </w:r>
      <w:r>
        <w:rPr>
          <w:rFonts w:hint="eastAsia"/>
          <w:b/>
        </w:rPr>
        <w:t>、联系方式</w:t>
      </w:r>
    </w:p>
    <w:p/>
    <w:p>
      <w:pPr>
        <w:rPr>
          <w:rFonts w:hint="default" w:eastAsiaTheme="minorEastAsia"/>
          <w:lang w:val="en-US" w:eastAsia="zh-CN"/>
        </w:rPr>
      </w:pPr>
      <w:r>
        <w:rPr>
          <w:rFonts w:hint="eastAsia"/>
        </w:rPr>
        <w:t>公    司</w:t>
      </w:r>
      <w:r>
        <w:t>：</w:t>
      </w:r>
      <w:r>
        <w:rPr>
          <w:rFonts w:hint="eastAsia"/>
        </w:rPr>
        <w:t>云南建投中航建设有限公司</w:t>
      </w:r>
      <w:r>
        <w:rPr>
          <w:rFonts w:hint="eastAsia"/>
          <w:lang w:val="en-US" w:eastAsia="zh-CN"/>
        </w:rPr>
        <w:t>景东分公司</w:t>
      </w:r>
    </w:p>
    <w:p/>
    <w:p>
      <w:pPr>
        <w:rPr>
          <w:rFonts w:hint="eastAsia" w:eastAsiaTheme="minorEastAsia"/>
          <w:lang w:eastAsia="zh-CN"/>
        </w:rPr>
      </w:pPr>
      <w:r>
        <w:rPr>
          <w:rFonts w:hint="eastAsia"/>
        </w:rPr>
        <w:t>联 系 人：</w:t>
      </w:r>
      <w:r>
        <w:rPr>
          <w:rFonts w:hint="eastAsia"/>
          <w:lang w:val="en-US" w:eastAsia="zh-CN"/>
        </w:rPr>
        <w:t>李龙强</w:t>
      </w:r>
      <w:r>
        <w:rPr>
          <w:rFonts w:hint="eastAsia" w:ascii="宋体" w:hAnsi="宋体"/>
          <w:sz w:val="24"/>
        </w:rPr>
        <w:t xml:space="preserve">  </w:t>
      </w:r>
    </w:p>
    <w:p>
      <w:r>
        <w:rPr>
          <w:rFonts w:hint="eastAsia"/>
        </w:rPr>
        <w:t>电     话：</w:t>
      </w:r>
      <w:r>
        <w:rPr>
          <w:rFonts w:hint="eastAsia" w:ascii="宋体" w:hAnsi="宋体"/>
          <w:sz w:val="24"/>
          <w:lang w:val="en-US" w:eastAsia="zh-CN"/>
        </w:rPr>
        <w:t>13211735351</w:t>
      </w:r>
      <w:r>
        <w:rPr>
          <w:rFonts w:hint="eastAsia" w:ascii="宋体" w:hAnsi="宋体"/>
          <w:sz w:val="24"/>
        </w:rPr>
        <w:t xml:space="preserve"> </w:t>
      </w:r>
    </w:p>
    <w:p/>
    <w:p>
      <w:pPr>
        <w:rPr>
          <w:rFonts w:hint="eastAsia"/>
        </w:rPr>
      </w:pPr>
    </w:p>
    <w:p>
      <w:pPr>
        <w:rPr>
          <w:rFonts w:hint="eastAsia"/>
        </w:rPr>
      </w:pPr>
      <w:r>
        <w:rPr>
          <w:rFonts w:ascii="宋体" w:hAnsi="宋体" w:eastAsia="宋体" w:cs="宋体"/>
          <w:sz w:val="24"/>
          <w:szCs w:val="24"/>
        </w:rPr>
        <w:t>凡满足本公告规定的投标人资格要求并有意参加的投标者，请登录“云上营家”电子商务平台官网（</w:t>
      </w:r>
      <w:r>
        <w:rPr>
          <w:rFonts w:ascii="宋体" w:hAnsi="宋体" w:eastAsia="宋体" w:cs="宋体"/>
          <w:sz w:val="24"/>
          <w:szCs w:val="24"/>
        </w:rPr>
        <w:drawing>
          <wp:inline distT="0" distB="0" distL="114300" distR="114300">
            <wp:extent cx="190500" cy="142875"/>
            <wp:effectExtent l="0" t="0" r="0" b="9525"/>
            <wp:docPr id="2"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IMG_256"/>
                    <pic:cNvPicPr>
                      <a:picLocks noChangeAspect="1"/>
                    </pic:cNvPicPr>
                  </pic:nvPicPr>
                  <pic:blipFill>
                    <a:blip r:embed="rId4"/>
                    <a:stretch>
                      <a:fillRect/>
                    </a:stretch>
                  </pic:blipFill>
                  <pic:spPr>
                    <a:xfrm>
                      <a:off x="0" y="0"/>
                      <a:ext cx="190500" cy="142875"/>
                    </a:xfrm>
                    <a:prstGeom prst="rect">
                      <a:avLst/>
                    </a:prstGeom>
                    <a:noFill/>
                    <a:ln w="9525">
                      <a:noFill/>
                    </a:ln>
                  </pic:spPr>
                </pic:pic>
              </a:graphicData>
            </a:graphic>
          </wp:inline>
        </w:drawing>
      </w:r>
      <w:r>
        <w:rPr>
          <w:rFonts w:ascii="宋体" w:hAnsi="宋体" w:eastAsia="宋体" w:cs="宋体"/>
          <w:sz w:val="24"/>
          <w:szCs w:val="24"/>
        </w:rPr>
        <w:t>www.inja.com）申请注册平台供应商，经平台运营方审核通过后方可参与本次投标。</w:t>
      </w:r>
      <w:r>
        <w:rPr>
          <w:rFonts w:ascii="宋体" w:hAnsi="宋体" w:eastAsia="宋体" w:cs="宋体"/>
          <w:sz w:val="24"/>
          <w:szCs w:val="24"/>
        </w:rPr>
        <w:br w:type="textWrapping"/>
      </w:r>
      <w:r>
        <w:rPr>
          <w:rFonts w:ascii="宋体" w:hAnsi="宋体" w:eastAsia="宋体" w:cs="宋体"/>
          <w:sz w:val="24"/>
          <w:szCs w:val="24"/>
        </w:rPr>
        <w:t>供应商注册流程及“云上营家”电子商务平台会员准入收费规则详见：</w:t>
      </w:r>
      <w:r>
        <w:rPr>
          <w:rFonts w:ascii="宋体" w:hAnsi="宋体" w:eastAsia="宋体" w:cs="宋体"/>
          <w:sz w:val="24"/>
          <w:szCs w:val="24"/>
        </w:rPr>
        <w:drawing>
          <wp:inline distT="0" distB="0" distL="114300" distR="114300">
            <wp:extent cx="190500" cy="142875"/>
            <wp:effectExtent l="0" t="0" r="0" b="9525"/>
            <wp:docPr id="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4"/>
                    <a:stretch>
                      <a:fillRect/>
                    </a:stretch>
                  </pic:blipFill>
                  <pic:spPr>
                    <a:xfrm>
                      <a:off x="0" y="0"/>
                      <a:ext cx="190500" cy="142875"/>
                    </a:xfrm>
                    <a:prstGeom prst="rect">
                      <a:avLst/>
                    </a:prstGeom>
                    <a:noFill/>
                    <a:ln w="9525">
                      <a:noFill/>
                    </a:ln>
                  </pic:spPr>
                </pic:pic>
              </a:graphicData>
            </a:graphic>
          </wp:inline>
        </w:drawing>
      </w:r>
      <w:r>
        <w:rPr>
          <w:rFonts w:ascii="宋体" w:hAnsi="宋体" w:eastAsia="宋体" w:cs="宋体"/>
          <w:sz w:val="24"/>
          <w:szCs w:val="24"/>
        </w:rPr>
        <w:t>https://www.inja.com/homenotice.html</w:t>
      </w:r>
      <w:r>
        <w:rPr>
          <w:rFonts w:ascii="宋体" w:hAnsi="宋体" w:eastAsia="宋体" w:cs="宋体"/>
          <w:sz w:val="24"/>
          <w:szCs w:val="24"/>
        </w:rPr>
        <w:br w:type="textWrapping"/>
      </w:r>
      <w:r>
        <w:rPr>
          <w:rFonts w:ascii="宋体" w:hAnsi="宋体" w:eastAsia="宋体" w:cs="宋体"/>
          <w:sz w:val="24"/>
          <w:szCs w:val="24"/>
        </w:rPr>
        <w:t>温馨提示：供应商提交注册申请并缴费后，平台工作人员将在2-3个工作日内进行审核，审核结果会以短信通知发送至供应商注册联系人，为不影响参与投标，请提前在平台注册，以免造成不必要的损失。</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1B4EEB8"/>
    <w:multiLevelType w:val="singleLevel"/>
    <w:tmpl w:val="41B4EEB8"/>
    <w:lvl w:ilvl="0" w:tentative="0">
      <w:start w:val="7"/>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6"/>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JhZDdlMzQxMzA4ZjA4MGNjYWE3N2YyMjhhMWExZDkifQ=="/>
  </w:docVars>
  <w:rsids>
    <w:rsidRoot w:val="00172A27"/>
    <w:rsid w:val="001337B2"/>
    <w:rsid w:val="00220CC3"/>
    <w:rsid w:val="00451DC2"/>
    <w:rsid w:val="004F2BC9"/>
    <w:rsid w:val="0054397C"/>
    <w:rsid w:val="005A39E8"/>
    <w:rsid w:val="006A69B4"/>
    <w:rsid w:val="006D5621"/>
    <w:rsid w:val="008D1D58"/>
    <w:rsid w:val="009D3A78"/>
    <w:rsid w:val="00A534B8"/>
    <w:rsid w:val="00AE54EE"/>
    <w:rsid w:val="00B00B65"/>
    <w:rsid w:val="00BF689B"/>
    <w:rsid w:val="00C90B4B"/>
    <w:rsid w:val="00F74C3F"/>
    <w:rsid w:val="02973B1A"/>
    <w:rsid w:val="02DB5076"/>
    <w:rsid w:val="050E6E23"/>
    <w:rsid w:val="07184938"/>
    <w:rsid w:val="07296E20"/>
    <w:rsid w:val="0B4A2CD3"/>
    <w:rsid w:val="0C303C5E"/>
    <w:rsid w:val="0E5774C3"/>
    <w:rsid w:val="14A47D11"/>
    <w:rsid w:val="15EE2DD4"/>
    <w:rsid w:val="16223714"/>
    <w:rsid w:val="17045380"/>
    <w:rsid w:val="18EF3831"/>
    <w:rsid w:val="1E27546F"/>
    <w:rsid w:val="1F980E13"/>
    <w:rsid w:val="215B05BF"/>
    <w:rsid w:val="22DF051F"/>
    <w:rsid w:val="240A4EC3"/>
    <w:rsid w:val="25B2496C"/>
    <w:rsid w:val="25CE15D2"/>
    <w:rsid w:val="294123D5"/>
    <w:rsid w:val="29A166DF"/>
    <w:rsid w:val="29B9117B"/>
    <w:rsid w:val="2B2B7536"/>
    <w:rsid w:val="2BEA5839"/>
    <w:rsid w:val="2CA75696"/>
    <w:rsid w:val="2CAA61E9"/>
    <w:rsid w:val="2D48554D"/>
    <w:rsid w:val="2D720050"/>
    <w:rsid w:val="31343410"/>
    <w:rsid w:val="34202B46"/>
    <w:rsid w:val="35FA43FD"/>
    <w:rsid w:val="36CC2DC9"/>
    <w:rsid w:val="37E04A4B"/>
    <w:rsid w:val="37EC4188"/>
    <w:rsid w:val="383E16E2"/>
    <w:rsid w:val="398A7234"/>
    <w:rsid w:val="3AD47854"/>
    <w:rsid w:val="3CBE2910"/>
    <w:rsid w:val="3D145B08"/>
    <w:rsid w:val="3D287563"/>
    <w:rsid w:val="3E42660A"/>
    <w:rsid w:val="4010452E"/>
    <w:rsid w:val="40426A9E"/>
    <w:rsid w:val="416D3C50"/>
    <w:rsid w:val="467560AF"/>
    <w:rsid w:val="47255A96"/>
    <w:rsid w:val="47E07AC2"/>
    <w:rsid w:val="48AA3DE0"/>
    <w:rsid w:val="48BF137F"/>
    <w:rsid w:val="4A4D62D2"/>
    <w:rsid w:val="4AAA09F6"/>
    <w:rsid w:val="4C5B077C"/>
    <w:rsid w:val="4D6C3C70"/>
    <w:rsid w:val="4E703EA1"/>
    <w:rsid w:val="4EE10633"/>
    <w:rsid w:val="524B4272"/>
    <w:rsid w:val="54387D6F"/>
    <w:rsid w:val="57402C90"/>
    <w:rsid w:val="579C0E74"/>
    <w:rsid w:val="589B47A4"/>
    <w:rsid w:val="589E6011"/>
    <w:rsid w:val="5BAA02DF"/>
    <w:rsid w:val="5BE23497"/>
    <w:rsid w:val="5E29259F"/>
    <w:rsid w:val="5E322FE5"/>
    <w:rsid w:val="5EC825D1"/>
    <w:rsid w:val="5FEE449B"/>
    <w:rsid w:val="61A213B9"/>
    <w:rsid w:val="61EA67AB"/>
    <w:rsid w:val="64C10EFC"/>
    <w:rsid w:val="666E2F4A"/>
    <w:rsid w:val="66FB2FD1"/>
    <w:rsid w:val="67207408"/>
    <w:rsid w:val="67EF1942"/>
    <w:rsid w:val="68307608"/>
    <w:rsid w:val="68FC2F5A"/>
    <w:rsid w:val="69A85B32"/>
    <w:rsid w:val="6A607976"/>
    <w:rsid w:val="6C4E5689"/>
    <w:rsid w:val="6C922E45"/>
    <w:rsid w:val="6D1972C2"/>
    <w:rsid w:val="6DB531F1"/>
    <w:rsid w:val="6F0616E8"/>
    <w:rsid w:val="72572846"/>
    <w:rsid w:val="72A6272B"/>
    <w:rsid w:val="72C25BA4"/>
    <w:rsid w:val="734939BC"/>
    <w:rsid w:val="757E6400"/>
    <w:rsid w:val="75A20BD6"/>
    <w:rsid w:val="76176D82"/>
    <w:rsid w:val="76706715"/>
    <w:rsid w:val="778D031B"/>
    <w:rsid w:val="78AA2D25"/>
    <w:rsid w:val="78AB67F3"/>
    <w:rsid w:val="78C510ED"/>
    <w:rsid w:val="7B9975CB"/>
    <w:rsid w:val="7C057CAE"/>
    <w:rsid w:val="7C1F18B5"/>
    <w:rsid w:val="7DC43AC9"/>
    <w:rsid w:val="7DED1F2F"/>
    <w:rsid w:val="7F901690"/>
    <w:rsid w:val="7FFC1E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4"/>
    <w:basedOn w:val="1"/>
    <w:next w:val="1"/>
    <w:semiHidden/>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footer"/>
    <w:basedOn w:val="1"/>
    <w:link w:val="12"/>
    <w:unhideWhenUsed/>
    <w:qFormat/>
    <w:uiPriority w:val="99"/>
    <w:pPr>
      <w:tabs>
        <w:tab w:val="center" w:pos="4153"/>
        <w:tab w:val="right" w:pos="8306"/>
      </w:tabs>
      <w:snapToGrid w:val="0"/>
      <w:jc w:val="left"/>
    </w:pPr>
    <w:rPr>
      <w:sz w:val="18"/>
      <w:szCs w:val="18"/>
    </w:rPr>
  </w:style>
  <w:style w:type="paragraph" w:styleId="5">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9">
    <w:name w:val="Hyperlink"/>
    <w:basedOn w:val="8"/>
    <w:unhideWhenUsed/>
    <w:qFormat/>
    <w:uiPriority w:val="99"/>
    <w:rPr>
      <w:color w:val="0563C1" w:themeColor="hyperlink"/>
      <w:u w:val="single"/>
      <w14:textFill>
        <w14:solidFill>
          <w14:schemeClr w14:val="hlink"/>
        </w14:solidFill>
      </w14:textFill>
    </w:rPr>
  </w:style>
  <w:style w:type="character" w:styleId="10">
    <w:name w:val="annotation reference"/>
    <w:basedOn w:val="8"/>
    <w:qFormat/>
    <w:uiPriority w:val="0"/>
    <w:rPr>
      <w:sz w:val="21"/>
      <w:szCs w:val="21"/>
    </w:rPr>
  </w:style>
  <w:style w:type="character" w:customStyle="1" w:styleId="11">
    <w:name w:val="页眉 Char"/>
    <w:basedOn w:val="8"/>
    <w:link w:val="5"/>
    <w:qFormat/>
    <w:uiPriority w:val="99"/>
    <w:rPr>
      <w:sz w:val="18"/>
      <w:szCs w:val="18"/>
    </w:rPr>
  </w:style>
  <w:style w:type="character" w:customStyle="1" w:styleId="12">
    <w:name w:val="页脚 Char"/>
    <w:basedOn w:val="8"/>
    <w:link w:val="4"/>
    <w:qFormat/>
    <w:uiPriority w:val="99"/>
    <w:rPr>
      <w:sz w:val="18"/>
      <w:szCs w:val="18"/>
    </w:rPr>
  </w:style>
  <w:style w:type="character" w:customStyle="1" w:styleId="13">
    <w:name w:val="font01"/>
    <w:basedOn w:val="8"/>
    <w:qFormat/>
    <w:uiPriority w:val="0"/>
    <w:rPr>
      <w:rFonts w:hint="eastAsia" w:ascii="宋体" w:hAnsi="宋体" w:eastAsia="宋体" w:cs="宋体"/>
      <w:color w:val="000000"/>
      <w:sz w:val="20"/>
      <w:szCs w:val="20"/>
      <w:u w:val="none"/>
    </w:rPr>
  </w:style>
  <w:style w:type="character" w:customStyle="1" w:styleId="14">
    <w:name w:val="font11"/>
    <w:basedOn w:val="8"/>
    <w:qFormat/>
    <w:uiPriority w:val="0"/>
    <w:rPr>
      <w:rFonts w:hint="default" w:ascii="Arial" w:hAnsi="Arial" w:cs="Arial"/>
      <w:color w:val="000000"/>
      <w:sz w:val="20"/>
      <w:szCs w:val="20"/>
      <w:u w:val="none"/>
    </w:rPr>
  </w:style>
  <w:style w:type="character" w:customStyle="1" w:styleId="15">
    <w:name w:val="font51"/>
    <w:basedOn w:val="8"/>
    <w:qFormat/>
    <w:uiPriority w:val="0"/>
    <w:rPr>
      <w:rFonts w:hint="eastAsia" w:ascii="宋体" w:hAnsi="宋体" w:eastAsia="宋体" w:cs="宋体"/>
      <w:b/>
      <w:color w:val="000000"/>
      <w:sz w:val="20"/>
      <w:szCs w:val="20"/>
      <w:u w:val="none"/>
    </w:rPr>
  </w:style>
  <w:style w:type="character" w:customStyle="1" w:styleId="16">
    <w:name w:val="font21"/>
    <w:basedOn w:val="8"/>
    <w:qFormat/>
    <w:uiPriority w:val="0"/>
    <w:rPr>
      <w:rFonts w:ascii="宋体" w:hAnsi="宋体" w:eastAsia="宋体" w:cs="宋体"/>
      <w:color w:val="000000"/>
      <w:sz w:val="14"/>
      <w:szCs w:val="14"/>
      <w:u w:val="non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9</Pages>
  <Words>3760</Words>
  <Characters>5613</Characters>
  <Lines>10</Lines>
  <Paragraphs>2</Paragraphs>
  <TotalTime>0</TotalTime>
  <ScaleCrop>false</ScaleCrop>
  <LinksUpToDate>false</LinksUpToDate>
  <CharactersWithSpaces>5771</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2019-05-22T03:08:00Z</dcterms:created>
  <dc:creator>Microsoft</dc:creator>
  <cp:lastModifiedBy>异曦</cp:lastModifiedBy>
  <dcterms:modified xsi:type="dcterms:W3CDTF">2023-05-27T00:49:36Z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5B065831FD9C48C5A781D9DB378189D3</vt:lpwstr>
  </property>
</Properties>
</file>