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sz w:val="36"/>
          <w:szCs w:val="28"/>
        </w:rPr>
      </w:pPr>
      <w:bookmarkStart w:id="0" w:name="OLE_LINK1"/>
      <w:r>
        <w:rPr>
          <w:rFonts w:hint="eastAsia" w:ascii="楷体" w:hAnsi="楷体" w:eastAsia="楷体"/>
          <w:sz w:val="28"/>
          <w:szCs w:val="28"/>
        </w:rPr>
        <w:t>云南建投第十五建设有限公司</w:t>
      </w:r>
    </w:p>
    <w:p>
      <w:pPr>
        <w:jc w:val="center"/>
        <w:rPr>
          <w:rFonts w:ascii="黑体" w:hAnsi="黑体" w:eastAsia="黑体"/>
          <w:sz w:val="36"/>
          <w:szCs w:val="28"/>
        </w:rPr>
      </w:pPr>
      <w:r>
        <w:rPr>
          <w:rFonts w:hint="eastAsia" w:ascii="黑体" w:hAnsi="黑体" w:eastAsia="黑体"/>
          <w:sz w:val="36"/>
          <w:szCs w:val="28"/>
        </w:rPr>
        <w:t xml:space="preserve">招 标 </w:t>
      </w:r>
      <w:r>
        <w:rPr>
          <w:rFonts w:ascii="黑体" w:hAnsi="黑体" w:eastAsia="黑体"/>
          <w:sz w:val="36"/>
          <w:szCs w:val="28"/>
        </w:rPr>
        <w:t>公 告</w:t>
      </w:r>
    </w:p>
    <w:p>
      <w:pPr>
        <w:rPr>
          <w:rFonts w:ascii="楷体" w:hAnsi="楷体" w:eastAsia="楷体"/>
          <w:sz w:val="28"/>
          <w:szCs w:val="28"/>
        </w:rPr>
      </w:pPr>
      <w:r>
        <w:rPr>
          <w:rFonts w:hint="eastAsia" w:ascii="楷体" w:hAnsi="楷体" w:eastAsia="楷体"/>
          <w:b/>
          <w:bCs/>
          <w:sz w:val="28"/>
          <w:szCs w:val="28"/>
          <w:u w:val="single"/>
          <w:lang w:eastAsia="zh-CN"/>
        </w:rPr>
        <w:t>云南建投第十五建设</w:t>
      </w:r>
      <w:r>
        <w:rPr>
          <w:rFonts w:hint="eastAsia" w:ascii="楷体" w:hAnsi="楷体" w:eastAsia="楷体"/>
          <w:b/>
          <w:bCs/>
          <w:sz w:val="28"/>
          <w:szCs w:val="28"/>
          <w:u w:val="single"/>
        </w:rPr>
        <w:t>有限公司</w:t>
      </w:r>
      <w:r>
        <w:rPr>
          <w:rFonts w:ascii="楷体" w:hAnsi="楷体" w:eastAsia="楷体"/>
          <w:sz w:val="28"/>
          <w:szCs w:val="28"/>
        </w:rPr>
        <w:t>根据相关法律法规及文件，对</w:t>
      </w:r>
      <w:r>
        <w:rPr>
          <w:rFonts w:hint="eastAsia" w:ascii="楷体" w:hAnsi="楷体" w:eastAsia="楷体"/>
          <w:sz w:val="28"/>
          <w:szCs w:val="28"/>
          <w:u w:val="single"/>
          <w:lang w:val="en-US" w:eastAsia="zh-CN"/>
        </w:rPr>
        <w:t xml:space="preserve">         </w:t>
      </w:r>
      <w:r>
        <w:rPr>
          <w:rFonts w:ascii="楷体" w:hAnsi="楷体" w:eastAsia="楷体"/>
          <w:sz w:val="28"/>
          <w:szCs w:val="28"/>
        </w:rPr>
        <w:t>所用</w:t>
      </w:r>
      <w:r>
        <w:rPr>
          <w:rFonts w:hint="eastAsia" w:ascii="楷体" w:hAnsi="楷体" w:eastAsia="楷体"/>
          <w:b/>
          <w:bCs/>
          <w:sz w:val="28"/>
          <w:szCs w:val="28"/>
          <w:u w:val="single"/>
          <w:lang w:val="en-US" w:eastAsia="zh-CN"/>
        </w:rPr>
        <w:t xml:space="preserve"> </w:t>
      </w:r>
      <w:r>
        <w:rPr>
          <w:rFonts w:hint="eastAsia" w:ascii="华文楷体" w:hAnsi="华文楷体" w:eastAsia="华文楷体" w:cs="华文楷体"/>
          <w:sz w:val="28"/>
          <w:szCs w:val="28"/>
          <w:u w:val="single"/>
          <w:lang w:eastAsia="zh-CN"/>
        </w:rPr>
        <w:t>混凝土预制品</w:t>
      </w:r>
      <w:r>
        <w:rPr>
          <w:rFonts w:hint="eastAsia" w:ascii="楷体" w:hAnsi="楷体" w:eastAsia="楷体"/>
          <w:b/>
          <w:bCs/>
          <w:sz w:val="28"/>
          <w:szCs w:val="28"/>
          <w:u w:val="single"/>
          <w:lang w:val="en-US" w:eastAsia="zh-CN"/>
        </w:rPr>
        <w:t xml:space="preserve"> </w:t>
      </w:r>
      <w:r>
        <w:rPr>
          <w:rFonts w:ascii="楷体" w:hAnsi="楷体" w:eastAsia="楷体"/>
          <w:sz w:val="28"/>
          <w:szCs w:val="28"/>
        </w:rPr>
        <w:t>进行采购，现将有关事宜公告如下：</w:t>
      </w:r>
    </w:p>
    <w:p>
      <w:pPr>
        <w:rPr>
          <w:rFonts w:ascii="楷体" w:hAnsi="楷体" w:eastAsia="楷体"/>
          <w:sz w:val="28"/>
          <w:szCs w:val="28"/>
        </w:rPr>
      </w:pPr>
      <w:r>
        <w:rPr>
          <w:rFonts w:hint="eastAsia" w:ascii="楷体" w:hAnsi="楷体" w:eastAsia="楷体"/>
          <w:sz w:val="28"/>
          <w:szCs w:val="28"/>
        </w:rPr>
        <w:t>一、</w:t>
      </w:r>
      <w:r>
        <w:rPr>
          <w:rFonts w:ascii="楷体" w:hAnsi="楷体" w:eastAsia="楷体"/>
          <w:sz w:val="28"/>
          <w:szCs w:val="28"/>
        </w:rPr>
        <w:t xml:space="preserve"> 项目信息及招标内容：</w:t>
      </w:r>
    </w:p>
    <w:p>
      <w:pPr>
        <w:ind w:firstLine="560" w:firstLineChars="200"/>
        <w:rPr>
          <w:rFonts w:hint="eastAsia" w:ascii="楷体" w:hAnsi="楷体" w:eastAsia="楷体"/>
          <w:b w:val="0"/>
          <w:bCs w:val="0"/>
          <w:sz w:val="28"/>
          <w:szCs w:val="28"/>
          <w:u w:val="single"/>
          <w:lang w:val="en-US" w:eastAsia="zh-CN"/>
        </w:rPr>
      </w:pPr>
      <w:r>
        <w:rPr>
          <w:rFonts w:ascii="楷体" w:hAnsi="楷体" w:eastAsia="楷体"/>
          <w:sz w:val="28"/>
          <w:szCs w:val="28"/>
        </w:rPr>
        <w:t>1.项目名称：</w:t>
      </w:r>
      <w:r>
        <w:rPr>
          <w:rFonts w:hint="eastAsia" w:ascii="楷体" w:hAnsi="楷体" w:eastAsia="楷体"/>
          <w:b w:val="0"/>
          <w:bCs w:val="0"/>
          <w:sz w:val="28"/>
          <w:szCs w:val="28"/>
          <w:u w:val="single"/>
          <w:lang w:val="en-US" w:eastAsia="zh-CN"/>
        </w:rPr>
        <w:t>大理市中心城区城市更新“十四五”市政基础设施建设项目2022年度雨污分流改造项目-建设西路（人民路至南涧路）提升改造工程</w:t>
      </w:r>
    </w:p>
    <w:p>
      <w:pPr>
        <w:ind w:firstLine="560" w:firstLineChars="200"/>
        <w:rPr>
          <w:rFonts w:hint="default" w:ascii="楷体" w:hAnsi="楷体" w:eastAsia="楷体"/>
          <w:sz w:val="28"/>
          <w:szCs w:val="28"/>
          <w:lang w:val="en-US" w:eastAsia="zh-CN"/>
        </w:rPr>
      </w:pPr>
      <w:r>
        <w:rPr>
          <w:rFonts w:ascii="楷体" w:hAnsi="楷体" w:eastAsia="楷体"/>
          <w:sz w:val="28"/>
          <w:szCs w:val="28"/>
        </w:rPr>
        <w:t>2.项目地址：</w:t>
      </w:r>
      <w:r>
        <w:rPr>
          <w:rFonts w:hint="eastAsia" w:ascii="华文楷体" w:hAnsi="华文楷体" w:eastAsia="华文楷体" w:cs="华文楷体"/>
          <w:sz w:val="28"/>
          <w:szCs w:val="28"/>
          <w:u w:val="single"/>
          <w:lang w:val="en-US" w:eastAsia="zh-CN"/>
        </w:rPr>
        <w:t xml:space="preserve">大理市下关镇建设路西段(人民路-南涧路) </w:t>
      </w:r>
    </w:p>
    <w:p>
      <w:pPr>
        <w:ind w:firstLine="560" w:firstLineChars="200"/>
        <w:rPr>
          <w:rFonts w:hint="eastAsia" w:ascii="楷体" w:hAnsi="楷体" w:eastAsia="楷体"/>
          <w:sz w:val="28"/>
          <w:szCs w:val="28"/>
        </w:rPr>
      </w:pPr>
      <w:r>
        <w:rPr>
          <w:rFonts w:ascii="楷体" w:hAnsi="楷体" w:eastAsia="楷体"/>
          <w:sz w:val="28"/>
          <w:szCs w:val="28"/>
        </w:rPr>
        <w:t>3.招标内容：</w:t>
      </w:r>
      <w:r>
        <w:rPr>
          <w:rFonts w:hint="eastAsia" w:ascii="楷体" w:hAnsi="楷体" w:eastAsia="楷体"/>
          <w:sz w:val="28"/>
          <w:szCs w:val="28"/>
        </w:rPr>
        <w:t>（见下表）</w:t>
      </w:r>
    </w:p>
    <w:tbl>
      <w:tblPr>
        <w:tblStyle w:val="6"/>
        <w:tblW w:w="5605" w:type="pct"/>
        <w:tblInd w:w="-92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23"/>
        <w:gridCol w:w="1353"/>
        <w:gridCol w:w="3405"/>
        <w:gridCol w:w="1287"/>
        <w:gridCol w:w="763"/>
        <w:gridCol w:w="1014"/>
        <w:gridCol w:w="120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single" w:color="000000" w:sz="8" w:space="0"/>
              <w:left w:val="single" w:color="000000" w:sz="8" w:space="0"/>
              <w:bottom w:val="single" w:color="000000" w:sz="8" w:space="0"/>
              <w:right w:val="single" w:color="000000" w:sz="8" w:space="0"/>
            </w:tcBorders>
            <w:noWrap/>
            <w:vAlign w:val="bottom"/>
          </w:tcPr>
          <w:p>
            <w:pPr>
              <w:keepNext w:val="0"/>
              <w:keepLines w:val="0"/>
              <w:widowControl/>
              <w:suppressLineNumbers w:val="0"/>
              <w:jc w:val="center"/>
              <w:textAlignment w:val="bottom"/>
              <w:rPr>
                <w:rFonts w:ascii="华文楷体" w:hAnsi="华文楷体" w:eastAsia="华文楷体" w:cs="华文楷体"/>
                <w:b/>
                <w:bCs/>
                <w:i w:val="0"/>
                <w:iCs w:val="0"/>
                <w:color w:val="000000"/>
                <w:sz w:val="20"/>
                <w:szCs w:val="20"/>
                <w:u w:val="none"/>
              </w:rPr>
            </w:pPr>
            <w:r>
              <w:rPr>
                <w:rFonts w:hint="eastAsia" w:ascii="华文楷体" w:hAnsi="华文楷体" w:eastAsia="华文楷体" w:cs="华文楷体"/>
                <w:b/>
                <w:bCs/>
                <w:i w:val="0"/>
                <w:iCs w:val="0"/>
                <w:color w:val="000000"/>
                <w:kern w:val="0"/>
                <w:sz w:val="20"/>
                <w:szCs w:val="20"/>
                <w:u w:val="none"/>
                <w:lang w:val="en-US" w:eastAsia="zh-CN" w:bidi="ar"/>
              </w:rPr>
              <w:t>序号</w:t>
            </w:r>
          </w:p>
        </w:tc>
        <w:tc>
          <w:tcPr>
            <w:tcW w:w="708" w:type="pct"/>
            <w:tcBorders>
              <w:top w:val="single" w:color="000000" w:sz="8" w:space="0"/>
              <w:left w:val="nil"/>
              <w:bottom w:val="single" w:color="000000" w:sz="8" w:space="0"/>
              <w:right w:val="single" w:color="000000" w:sz="8" w:space="0"/>
            </w:tcBorders>
            <w:noWrap/>
            <w:vAlign w:val="bottom"/>
          </w:tcPr>
          <w:p>
            <w:pPr>
              <w:keepNext w:val="0"/>
              <w:keepLines w:val="0"/>
              <w:widowControl/>
              <w:suppressLineNumbers w:val="0"/>
              <w:jc w:val="center"/>
              <w:textAlignment w:val="bottom"/>
              <w:rPr>
                <w:rFonts w:hint="eastAsia" w:ascii="华文楷体" w:hAnsi="华文楷体" w:eastAsia="华文楷体" w:cs="华文楷体"/>
                <w:b/>
                <w:bCs/>
                <w:i w:val="0"/>
                <w:iCs w:val="0"/>
                <w:color w:val="000000"/>
                <w:sz w:val="20"/>
                <w:szCs w:val="20"/>
                <w:u w:val="none"/>
              </w:rPr>
            </w:pPr>
            <w:r>
              <w:rPr>
                <w:rFonts w:hint="eastAsia" w:ascii="华文楷体" w:hAnsi="华文楷体" w:eastAsia="华文楷体" w:cs="华文楷体"/>
                <w:b/>
                <w:bCs/>
                <w:i w:val="0"/>
                <w:iCs w:val="0"/>
                <w:color w:val="000000"/>
                <w:kern w:val="0"/>
                <w:sz w:val="20"/>
                <w:szCs w:val="20"/>
                <w:u w:val="none"/>
                <w:lang w:val="en-US" w:eastAsia="zh-CN" w:bidi="ar"/>
              </w:rPr>
              <w:t>材料名称</w:t>
            </w:r>
          </w:p>
        </w:tc>
        <w:tc>
          <w:tcPr>
            <w:tcW w:w="1781" w:type="pct"/>
            <w:tcBorders>
              <w:top w:val="single" w:color="000000" w:sz="8" w:space="0"/>
              <w:left w:val="nil"/>
              <w:bottom w:val="single" w:color="000000" w:sz="8" w:space="0"/>
              <w:right w:val="single" w:color="000000" w:sz="8" w:space="0"/>
            </w:tcBorders>
            <w:noWrap/>
            <w:vAlign w:val="bottom"/>
          </w:tcPr>
          <w:p>
            <w:pPr>
              <w:keepNext w:val="0"/>
              <w:keepLines w:val="0"/>
              <w:widowControl/>
              <w:suppressLineNumbers w:val="0"/>
              <w:jc w:val="center"/>
              <w:textAlignment w:val="bottom"/>
              <w:rPr>
                <w:rFonts w:hint="eastAsia" w:ascii="华文楷体" w:hAnsi="华文楷体" w:eastAsia="华文楷体" w:cs="华文楷体"/>
                <w:b/>
                <w:bCs/>
                <w:i w:val="0"/>
                <w:iCs w:val="0"/>
                <w:color w:val="000000"/>
                <w:sz w:val="20"/>
                <w:szCs w:val="20"/>
                <w:u w:val="none"/>
              </w:rPr>
            </w:pPr>
            <w:r>
              <w:rPr>
                <w:rFonts w:hint="eastAsia" w:ascii="华文楷体" w:hAnsi="华文楷体" w:eastAsia="华文楷体" w:cs="华文楷体"/>
                <w:b/>
                <w:bCs/>
                <w:i w:val="0"/>
                <w:iCs w:val="0"/>
                <w:color w:val="000000"/>
                <w:kern w:val="0"/>
                <w:sz w:val="20"/>
                <w:szCs w:val="20"/>
                <w:u w:val="none"/>
                <w:lang w:val="en-US" w:eastAsia="zh-CN" w:bidi="ar"/>
              </w:rPr>
              <w:t>规格</w:t>
            </w:r>
          </w:p>
        </w:tc>
        <w:tc>
          <w:tcPr>
            <w:tcW w:w="673" w:type="pct"/>
            <w:tcBorders>
              <w:top w:val="single" w:color="000000" w:sz="8" w:space="0"/>
              <w:left w:val="nil"/>
              <w:bottom w:val="single" w:color="000000" w:sz="8" w:space="0"/>
              <w:right w:val="single" w:color="000000" w:sz="8" w:space="0"/>
            </w:tcBorders>
            <w:noWrap/>
            <w:vAlign w:val="bottom"/>
          </w:tcPr>
          <w:p>
            <w:pPr>
              <w:keepNext w:val="0"/>
              <w:keepLines w:val="0"/>
              <w:widowControl/>
              <w:suppressLineNumbers w:val="0"/>
              <w:jc w:val="center"/>
              <w:textAlignment w:val="bottom"/>
              <w:rPr>
                <w:rFonts w:hint="eastAsia" w:ascii="华文楷体" w:hAnsi="华文楷体" w:eastAsia="华文楷体" w:cs="华文楷体"/>
                <w:b/>
                <w:bCs/>
                <w:i w:val="0"/>
                <w:iCs w:val="0"/>
                <w:color w:val="000000"/>
                <w:sz w:val="20"/>
                <w:szCs w:val="20"/>
                <w:u w:val="none"/>
              </w:rPr>
            </w:pPr>
            <w:r>
              <w:rPr>
                <w:rFonts w:hint="eastAsia" w:ascii="华文楷体" w:hAnsi="华文楷体" w:eastAsia="华文楷体" w:cs="华文楷体"/>
                <w:b/>
                <w:bCs/>
                <w:i w:val="0"/>
                <w:iCs w:val="0"/>
                <w:color w:val="000000"/>
                <w:kern w:val="0"/>
                <w:sz w:val="20"/>
                <w:szCs w:val="20"/>
                <w:u w:val="none"/>
                <w:lang w:val="en-US" w:eastAsia="zh-CN" w:bidi="ar"/>
              </w:rPr>
              <w:t>质量及技术标准（材质）</w:t>
            </w:r>
          </w:p>
        </w:tc>
        <w:tc>
          <w:tcPr>
            <w:tcW w:w="399" w:type="pct"/>
            <w:tcBorders>
              <w:top w:val="single" w:color="000000" w:sz="8" w:space="0"/>
              <w:left w:val="nil"/>
              <w:bottom w:val="single" w:color="000000" w:sz="8" w:space="0"/>
              <w:right w:val="single" w:color="000000" w:sz="8" w:space="0"/>
            </w:tcBorders>
            <w:noWrap/>
            <w:vAlign w:val="bottom"/>
          </w:tcPr>
          <w:p>
            <w:pPr>
              <w:keepNext w:val="0"/>
              <w:keepLines w:val="0"/>
              <w:widowControl/>
              <w:suppressLineNumbers w:val="0"/>
              <w:jc w:val="center"/>
              <w:textAlignment w:val="bottom"/>
              <w:rPr>
                <w:rFonts w:hint="eastAsia" w:ascii="华文楷体" w:hAnsi="华文楷体" w:eastAsia="华文楷体" w:cs="华文楷体"/>
                <w:b/>
                <w:bCs/>
                <w:i w:val="0"/>
                <w:iCs w:val="0"/>
                <w:color w:val="000000"/>
                <w:sz w:val="20"/>
                <w:szCs w:val="20"/>
                <w:u w:val="none"/>
              </w:rPr>
            </w:pPr>
            <w:r>
              <w:rPr>
                <w:rFonts w:hint="eastAsia" w:ascii="华文楷体" w:hAnsi="华文楷体" w:eastAsia="华文楷体" w:cs="华文楷体"/>
                <w:b/>
                <w:bCs/>
                <w:i w:val="0"/>
                <w:iCs w:val="0"/>
                <w:color w:val="000000"/>
                <w:kern w:val="0"/>
                <w:sz w:val="20"/>
                <w:szCs w:val="20"/>
                <w:u w:val="none"/>
                <w:lang w:val="en-US" w:eastAsia="zh-CN" w:bidi="ar"/>
              </w:rPr>
              <w:t>单位</w:t>
            </w:r>
          </w:p>
        </w:tc>
        <w:tc>
          <w:tcPr>
            <w:tcW w:w="530" w:type="pct"/>
            <w:tcBorders>
              <w:top w:val="single" w:color="000000" w:sz="8" w:space="0"/>
              <w:left w:val="nil"/>
              <w:bottom w:val="single" w:color="000000" w:sz="8" w:space="0"/>
              <w:right w:val="nil"/>
            </w:tcBorders>
            <w:noWrap/>
            <w:vAlign w:val="bottom"/>
          </w:tcPr>
          <w:p>
            <w:pPr>
              <w:keepNext w:val="0"/>
              <w:keepLines w:val="0"/>
              <w:widowControl/>
              <w:suppressLineNumbers w:val="0"/>
              <w:jc w:val="center"/>
              <w:textAlignment w:val="bottom"/>
              <w:rPr>
                <w:rFonts w:hint="eastAsia" w:ascii="华文楷体" w:hAnsi="华文楷体" w:eastAsia="华文楷体" w:cs="华文楷体"/>
                <w:b/>
                <w:bCs/>
                <w:i w:val="0"/>
                <w:iCs w:val="0"/>
                <w:color w:val="000000"/>
                <w:sz w:val="20"/>
                <w:szCs w:val="20"/>
                <w:u w:val="none"/>
              </w:rPr>
            </w:pPr>
            <w:r>
              <w:rPr>
                <w:rFonts w:hint="eastAsia" w:ascii="华文楷体" w:hAnsi="华文楷体" w:eastAsia="华文楷体" w:cs="华文楷体"/>
                <w:b/>
                <w:bCs/>
                <w:i w:val="0"/>
                <w:iCs w:val="0"/>
                <w:color w:val="000000"/>
                <w:kern w:val="0"/>
                <w:sz w:val="20"/>
                <w:szCs w:val="20"/>
                <w:u w:val="none"/>
                <w:lang w:val="en-US" w:eastAsia="zh-CN" w:bidi="ar"/>
              </w:rPr>
              <w:t>数量</w:t>
            </w:r>
          </w:p>
        </w:tc>
        <w:tc>
          <w:tcPr>
            <w:tcW w:w="632" w:type="pct"/>
            <w:tcBorders>
              <w:top w:val="single" w:color="000000" w:sz="8" w:space="0"/>
              <w:left w:val="nil"/>
              <w:bottom w:val="single" w:color="000000" w:sz="8" w:space="0"/>
              <w:right w:val="single" w:color="000000" w:sz="8" w:space="0"/>
            </w:tcBorders>
            <w:noWrap/>
            <w:vAlign w:val="bottom"/>
          </w:tcPr>
          <w:p>
            <w:pPr>
              <w:keepNext w:val="0"/>
              <w:keepLines w:val="0"/>
              <w:widowControl/>
              <w:suppressLineNumbers w:val="0"/>
              <w:jc w:val="center"/>
              <w:textAlignment w:val="bottom"/>
              <w:rPr>
                <w:rFonts w:hint="eastAsia" w:ascii="华文楷体" w:hAnsi="华文楷体" w:eastAsia="华文楷体" w:cs="华文楷体"/>
                <w:b/>
                <w:bCs/>
                <w:i w:val="0"/>
                <w:iCs w:val="0"/>
                <w:color w:val="000000"/>
                <w:sz w:val="20"/>
                <w:szCs w:val="20"/>
                <w:u w:val="none"/>
              </w:rPr>
            </w:pPr>
            <w:r>
              <w:rPr>
                <w:rFonts w:hint="eastAsia" w:ascii="华文楷体" w:hAnsi="华文楷体" w:eastAsia="华文楷体" w:cs="华文楷体"/>
                <w:b/>
                <w:bCs/>
                <w:i w:val="0"/>
                <w:iCs w:val="0"/>
                <w:color w:val="000000"/>
                <w:kern w:val="0"/>
                <w:sz w:val="20"/>
                <w:szCs w:val="20"/>
                <w:u w:val="none"/>
                <w:lang w:val="en-US" w:eastAsia="zh-CN" w:bidi="ar"/>
              </w:rPr>
              <w:t>计划进场时间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钢筋混凝土电力三通人孔井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2200*1700*1900，壁厚200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5.7</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钢筋混凝土电力四通人孔井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2200*2200*1900，壁厚200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47.5</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钢筋混凝土电力直通人孔井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2400*1200*1900，壁厚200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102.6</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钢筋混凝土矩形立式蝶阀给水井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2200*2200*2800，壁厚200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16.8</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钢筋混凝土矩形立式闸阀给水井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1400*1400*1800，壁厚200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43.2</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钢筋混凝土矩形排气给水井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1400*1400*2000，壁厚200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6</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钢筋混凝土通信井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1400*1400*1900，壁厚200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104.5</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钢筋混凝土通信井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2200*1400*1900，壁厚200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45.6</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钢筋混凝土雨污水井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1400*1400，壁厚200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59.7</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钢筋混凝土雨污水井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1700*1700，壁厚200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61.9</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钢筋混凝土雨污水井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2200*2200，壁厚200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7.8</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钢筋混凝土雨污水井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2700*2700，壁厚200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3</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钢筋混凝土雨污水井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Φ=1000，壁厚200*200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164.935</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钢筋混凝土雨污水井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Φ=1200，壁厚200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钢筋混凝土雨污水井</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Φ=1500，壁厚200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46.7</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1800*1800*200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108</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2100*2100*200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28</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2600*1800*200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24</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2600*2100*200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6</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2600*2600*200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59</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2800*1600*200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108</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3100*3100*200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Φ=1400*200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80</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Φ=1600*200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混凝土盖板</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Φ=1900*200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块</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19</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混凝土井筒管</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Φ=700，壁厚150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200</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PC透水砖</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500*250*50，200*100*50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平方米</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12579.54</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273" w:type="pct"/>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708"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护坡</w:t>
            </w:r>
          </w:p>
        </w:tc>
        <w:tc>
          <w:tcPr>
            <w:tcW w:w="1781"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2000*1000*500</w:t>
            </w:r>
          </w:p>
        </w:tc>
        <w:tc>
          <w:tcPr>
            <w:tcW w:w="673"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合格</w:t>
            </w:r>
          </w:p>
        </w:tc>
        <w:tc>
          <w:tcPr>
            <w:tcW w:w="399"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个</w:t>
            </w:r>
          </w:p>
        </w:tc>
        <w:tc>
          <w:tcPr>
            <w:tcW w:w="530"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1260</w:t>
            </w:r>
          </w:p>
        </w:tc>
        <w:tc>
          <w:tcPr>
            <w:tcW w:w="632" w:type="pct"/>
            <w:tcBorders>
              <w:top w:val="nil"/>
              <w:left w:val="nil"/>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2"/>
                <w:sz w:val="21"/>
                <w:szCs w:val="21"/>
                <w:u w:val="none"/>
                <w:lang w:val="en-US" w:eastAsia="zh-CN" w:bidi="ar-SA"/>
              </w:rPr>
              <w:t>据项目部通知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5000" w:type="pct"/>
            <w:gridSpan w:val="7"/>
            <w:tcBorders>
              <w:top w:val="nil"/>
              <w:left w:val="single" w:color="000000" w:sz="8" w:space="0"/>
              <w:bottom w:val="single" w:color="000000" w:sz="8" w:space="0"/>
              <w:right w:val="single" w:color="000000" w:sz="8" w:space="0"/>
            </w:tcBorders>
            <w:noWrap/>
            <w:vAlign w:val="center"/>
          </w:tcPr>
          <w:p>
            <w:pPr>
              <w:keepNext w:val="0"/>
              <w:keepLines w:val="0"/>
              <w:widowControl/>
              <w:suppressLineNumbers w:val="0"/>
              <w:jc w:val="center"/>
              <w:textAlignment w:val="center"/>
              <w:rPr>
                <w:rFonts w:hint="eastAsia" w:ascii="华文楷体" w:hAnsi="华文楷体" w:eastAsia="华文楷体" w:cs="华文楷体"/>
                <w:i w:val="0"/>
                <w:iCs w:val="0"/>
                <w:color w:val="000000"/>
                <w:kern w:val="0"/>
                <w:sz w:val="20"/>
                <w:szCs w:val="20"/>
                <w:u w:val="none"/>
                <w:lang w:val="en-US" w:eastAsia="zh-CN" w:bidi="ar"/>
              </w:rPr>
            </w:pPr>
            <w:r>
              <w:rPr>
                <w:rFonts w:hint="eastAsia" w:ascii="宋体" w:hAnsi="宋体" w:cs="宋体"/>
                <w:b/>
                <w:bCs/>
                <w:color w:val="000000"/>
                <w:kern w:val="0"/>
                <w:sz w:val="18"/>
                <w:szCs w:val="16"/>
                <w:lang w:val="en-US" w:eastAsia="zh-CN"/>
              </w:rPr>
              <w:t>拦标价详见招标文件</w:t>
            </w:r>
          </w:p>
        </w:tc>
      </w:tr>
    </w:tbl>
    <w:p>
      <w:pPr>
        <w:ind w:firstLine="560" w:firstLineChars="200"/>
        <w:rPr>
          <w:rFonts w:hint="eastAsia" w:ascii="楷体" w:hAnsi="楷体" w:eastAsia="楷体"/>
          <w:sz w:val="28"/>
          <w:szCs w:val="28"/>
        </w:rPr>
      </w:pPr>
    </w:p>
    <w:p>
      <w:pPr>
        <w:rPr>
          <w:rFonts w:ascii="楷体" w:hAnsi="楷体" w:eastAsia="楷体"/>
          <w:sz w:val="28"/>
          <w:szCs w:val="28"/>
        </w:rPr>
      </w:pPr>
      <w:r>
        <w:rPr>
          <w:rFonts w:hint="eastAsia" w:ascii="楷体" w:hAnsi="楷体" w:eastAsia="楷体"/>
          <w:sz w:val="28"/>
          <w:szCs w:val="28"/>
        </w:rPr>
        <w:t>二、投标人资格要求</w:t>
      </w:r>
    </w:p>
    <w:p>
      <w:pPr>
        <w:ind w:firstLine="560" w:firstLineChars="200"/>
        <w:rPr>
          <w:rFonts w:ascii="楷体" w:hAnsi="楷体" w:eastAsia="楷体"/>
          <w:sz w:val="28"/>
          <w:szCs w:val="28"/>
        </w:rPr>
      </w:pPr>
      <w:r>
        <w:rPr>
          <w:rFonts w:hint="eastAsia" w:ascii="楷体" w:hAnsi="楷体" w:eastAsia="楷体"/>
          <w:sz w:val="28"/>
          <w:szCs w:val="28"/>
        </w:rPr>
        <w:t>1</w:t>
      </w:r>
      <w:r>
        <w:rPr>
          <w:rFonts w:ascii="楷体" w:hAnsi="楷体" w:eastAsia="楷体"/>
          <w:sz w:val="28"/>
          <w:szCs w:val="28"/>
        </w:rPr>
        <w:t>.</w:t>
      </w:r>
      <w:r>
        <w:rPr>
          <w:rFonts w:hint="eastAsia" w:ascii="楷体" w:hAnsi="楷体" w:eastAsia="楷体"/>
          <w:sz w:val="28"/>
          <w:szCs w:val="28"/>
        </w:rPr>
        <w:t>公司具有独立法人资格，有国家行政管理部门核发的营业执照、生产许可证，通过质量体系认证的生产厂家。</w:t>
      </w:r>
    </w:p>
    <w:p>
      <w:pPr>
        <w:ind w:firstLine="560" w:firstLineChars="200"/>
        <w:rPr>
          <w:rFonts w:ascii="楷体" w:hAnsi="楷体" w:eastAsia="楷体"/>
          <w:sz w:val="28"/>
          <w:szCs w:val="28"/>
        </w:rPr>
      </w:pPr>
      <w:r>
        <w:rPr>
          <w:rFonts w:ascii="楷体" w:hAnsi="楷体" w:eastAsia="楷体"/>
          <w:sz w:val="28"/>
          <w:szCs w:val="28"/>
        </w:rPr>
        <w:t>2.</w:t>
      </w:r>
      <w:r>
        <w:rPr>
          <w:rFonts w:hint="eastAsia" w:ascii="楷体" w:hAnsi="楷体" w:eastAsia="楷体"/>
          <w:sz w:val="28"/>
          <w:szCs w:val="28"/>
        </w:rPr>
        <w:t>投标单位为产品的生产企业或授权代理经销商，若为授权代理经销商须出具制造商产品代理或授权书复印件加盖公章。</w:t>
      </w:r>
    </w:p>
    <w:p>
      <w:pPr>
        <w:ind w:firstLine="560" w:firstLineChars="200"/>
        <w:rPr>
          <w:rFonts w:hint="default" w:ascii="楷体" w:hAnsi="楷体" w:eastAsia="楷体"/>
          <w:color w:val="auto"/>
          <w:sz w:val="28"/>
          <w:szCs w:val="28"/>
          <w:lang w:val="en-US" w:eastAsia="zh-CN"/>
        </w:rPr>
      </w:pPr>
      <w:r>
        <w:rPr>
          <w:rFonts w:hint="eastAsia" w:ascii="楷体" w:hAnsi="楷体" w:eastAsia="楷体"/>
          <w:color w:val="auto"/>
          <w:sz w:val="28"/>
          <w:szCs w:val="28"/>
        </w:rPr>
        <w:t>3</w:t>
      </w:r>
      <w:r>
        <w:rPr>
          <w:rFonts w:ascii="楷体" w:hAnsi="楷体" w:eastAsia="楷体"/>
          <w:color w:val="auto"/>
          <w:sz w:val="28"/>
          <w:szCs w:val="28"/>
        </w:rPr>
        <w:t>.</w:t>
      </w:r>
      <w:r>
        <w:rPr>
          <w:rFonts w:hint="eastAsia" w:ascii="楷体" w:hAnsi="楷体" w:eastAsia="楷体"/>
          <w:color w:val="auto"/>
          <w:sz w:val="28"/>
          <w:szCs w:val="28"/>
        </w:rPr>
        <w:t xml:space="preserve"> 投标单位有能力保证供应</w:t>
      </w:r>
      <w:r>
        <w:rPr>
          <w:rFonts w:hint="eastAsia" w:ascii="楷体" w:hAnsi="楷体" w:eastAsia="楷体"/>
          <w:color w:val="auto"/>
          <w:sz w:val="28"/>
          <w:szCs w:val="28"/>
          <w:lang w:val="en-US" w:eastAsia="zh-CN"/>
        </w:rPr>
        <w:t>。</w:t>
      </w:r>
    </w:p>
    <w:p>
      <w:pPr>
        <w:rPr>
          <w:rFonts w:ascii="楷体" w:hAnsi="楷体" w:eastAsia="楷体"/>
          <w:sz w:val="28"/>
          <w:szCs w:val="28"/>
        </w:rPr>
      </w:pPr>
      <w:r>
        <w:rPr>
          <w:rFonts w:hint="eastAsia" w:ascii="楷体" w:hAnsi="楷体" w:eastAsia="楷体"/>
          <w:sz w:val="28"/>
          <w:szCs w:val="28"/>
        </w:rPr>
        <w:t>三、信誉要求</w:t>
      </w:r>
    </w:p>
    <w:p>
      <w:pPr>
        <w:rPr>
          <w:rFonts w:ascii="楷体" w:hAnsi="楷体" w:eastAsia="楷体"/>
          <w:sz w:val="28"/>
          <w:szCs w:val="28"/>
        </w:rPr>
      </w:pPr>
      <w:r>
        <w:rPr>
          <w:rFonts w:ascii="楷体" w:hAnsi="楷体" w:eastAsia="楷体"/>
          <w:sz w:val="28"/>
          <w:szCs w:val="28"/>
        </w:rPr>
        <w:t>1.供应商在过去5年中在云南省建设领域内不曾在任何合同中违约或被驱逐，或因供应商自身的原因而使任何被解除或因不良业绩被云南省各级主管部门通报。</w:t>
      </w:r>
    </w:p>
    <w:p>
      <w:pPr>
        <w:rPr>
          <w:rFonts w:ascii="楷体" w:hAnsi="楷体" w:eastAsia="楷体"/>
          <w:sz w:val="28"/>
          <w:szCs w:val="28"/>
        </w:rPr>
      </w:pPr>
      <w:r>
        <w:rPr>
          <w:rFonts w:ascii="楷体" w:hAnsi="楷体" w:eastAsia="楷体"/>
          <w:sz w:val="28"/>
          <w:szCs w:val="28"/>
        </w:rPr>
        <w:t>2.供应商没有正受到责令停业的行政处罚或正处于财务被接管、冻结、破产的状态。</w:t>
      </w:r>
    </w:p>
    <w:p>
      <w:pPr>
        <w:rPr>
          <w:rFonts w:ascii="楷体" w:hAnsi="楷体" w:eastAsia="楷体"/>
          <w:sz w:val="28"/>
          <w:szCs w:val="28"/>
        </w:rPr>
      </w:pPr>
      <w:r>
        <w:rPr>
          <w:rFonts w:ascii="楷体" w:hAnsi="楷体" w:eastAsia="楷体"/>
          <w:sz w:val="28"/>
          <w:szCs w:val="28"/>
        </w:rPr>
        <w:t>3.供应商没有正受到取消投标资格的行政处罚。</w:t>
      </w:r>
    </w:p>
    <w:p>
      <w:pPr>
        <w:rPr>
          <w:rFonts w:ascii="楷体" w:hAnsi="楷体" w:eastAsia="楷体"/>
          <w:sz w:val="28"/>
          <w:szCs w:val="28"/>
        </w:rPr>
      </w:pPr>
      <w:r>
        <w:rPr>
          <w:rFonts w:ascii="楷体" w:hAnsi="楷体" w:eastAsia="楷体"/>
          <w:sz w:val="28"/>
          <w:szCs w:val="28"/>
        </w:rPr>
        <w:t>4.供应商涉及正在诉讼的案件经评标小组认定不会对承担本供货任务造成重大影响。</w:t>
      </w:r>
    </w:p>
    <w:p>
      <w:pPr>
        <w:rPr>
          <w:rFonts w:ascii="楷体" w:hAnsi="楷体" w:eastAsia="楷体"/>
          <w:sz w:val="28"/>
          <w:szCs w:val="28"/>
        </w:rPr>
      </w:pPr>
      <w:r>
        <w:rPr>
          <w:rFonts w:hint="eastAsia" w:ascii="楷体" w:hAnsi="楷体" w:eastAsia="楷体"/>
          <w:sz w:val="28"/>
          <w:szCs w:val="28"/>
        </w:rPr>
        <w:t>四、投标报价要求</w:t>
      </w:r>
    </w:p>
    <w:p>
      <w:pPr>
        <w:rPr>
          <w:rFonts w:ascii="楷体" w:hAnsi="楷体" w:eastAsia="楷体"/>
          <w:sz w:val="28"/>
          <w:szCs w:val="28"/>
        </w:rPr>
      </w:pPr>
      <w:r>
        <w:rPr>
          <w:rFonts w:ascii="楷体" w:hAnsi="楷体" w:eastAsia="楷体"/>
          <w:sz w:val="28"/>
          <w:szCs w:val="28"/>
        </w:rPr>
        <w:t>1.投标人须报含税</w:t>
      </w:r>
      <w:r>
        <w:rPr>
          <w:rFonts w:hint="eastAsia" w:ascii="楷体" w:hAnsi="楷体" w:eastAsia="楷体"/>
          <w:sz w:val="28"/>
          <w:szCs w:val="28"/>
        </w:rPr>
        <w:t>、</w:t>
      </w:r>
      <w:r>
        <w:rPr>
          <w:rFonts w:ascii="楷体" w:hAnsi="楷体" w:eastAsia="楷体"/>
          <w:sz w:val="28"/>
          <w:szCs w:val="28"/>
        </w:rPr>
        <w:t>含运费</w:t>
      </w:r>
      <w:r>
        <w:rPr>
          <w:rFonts w:hint="eastAsia" w:ascii="楷体" w:hAnsi="楷体" w:eastAsia="楷体"/>
          <w:sz w:val="28"/>
          <w:szCs w:val="28"/>
          <w:lang w:eastAsia="zh-CN"/>
        </w:rPr>
        <w:t>、</w:t>
      </w:r>
      <w:r>
        <w:rPr>
          <w:rFonts w:hint="eastAsia" w:ascii="楷体" w:hAnsi="楷体" w:eastAsia="楷体"/>
          <w:sz w:val="28"/>
          <w:szCs w:val="28"/>
          <w:lang w:val="en-US" w:eastAsia="zh-CN"/>
        </w:rPr>
        <w:t>上</w:t>
      </w:r>
      <w:r>
        <w:rPr>
          <w:rFonts w:hint="eastAsia" w:ascii="楷体" w:hAnsi="楷体" w:eastAsia="楷体"/>
          <w:sz w:val="28"/>
          <w:szCs w:val="28"/>
          <w:lang w:eastAsia="zh-CN"/>
        </w:rPr>
        <w:t>车费</w:t>
      </w:r>
      <w:r>
        <w:rPr>
          <w:rFonts w:ascii="楷体" w:hAnsi="楷体" w:eastAsia="楷体"/>
          <w:sz w:val="28"/>
          <w:szCs w:val="28"/>
        </w:rPr>
        <w:t>单价</w:t>
      </w:r>
      <w:r>
        <w:rPr>
          <w:rFonts w:hint="eastAsia" w:ascii="楷体" w:hAnsi="楷体" w:eastAsia="楷体"/>
          <w:sz w:val="28"/>
          <w:szCs w:val="28"/>
          <w:lang w:eastAsia="zh-CN"/>
        </w:rPr>
        <w:t>，本标按一票制结算</w:t>
      </w:r>
      <w:r>
        <w:rPr>
          <w:rFonts w:ascii="楷体" w:hAnsi="楷体" w:eastAsia="楷体"/>
          <w:sz w:val="28"/>
          <w:szCs w:val="28"/>
        </w:rPr>
        <w:t>。</w:t>
      </w:r>
    </w:p>
    <w:p>
      <w:pPr>
        <w:rPr>
          <w:rFonts w:ascii="楷体" w:hAnsi="楷体" w:eastAsia="楷体"/>
          <w:sz w:val="28"/>
          <w:szCs w:val="28"/>
        </w:rPr>
      </w:pPr>
      <w:r>
        <w:rPr>
          <w:rFonts w:ascii="楷体" w:hAnsi="楷体" w:eastAsia="楷体"/>
          <w:sz w:val="28"/>
          <w:szCs w:val="28"/>
        </w:rPr>
        <w:t>2.报价响应文件有效期：从提交报价响应文件之日起5日历天。</w:t>
      </w:r>
    </w:p>
    <w:p>
      <w:pPr>
        <w:rPr>
          <w:rFonts w:ascii="楷体" w:hAnsi="楷体" w:eastAsia="楷体"/>
          <w:sz w:val="28"/>
          <w:szCs w:val="28"/>
        </w:rPr>
      </w:pPr>
      <w:r>
        <w:rPr>
          <w:rFonts w:ascii="楷体" w:hAnsi="楷体" w:eastAsia="楷体"/>
          <w:sz w:val="28"/>
          <w:szCs w:val="28"/>
        </w:rPr>
        <w:t>3.投标报价附件要求：</w:t>
      </w:r>
    </w:p>
    <w:p>
      <w:pPr>
        <w:ind w:firstLine="560" w:firstLineChars="200"/>
        <w:rPr>
          <w:rFonts w:ascii="楷体" w:hAnsi="楷体" w:eastAsia="楷体"/>
          <w:sz w:val="28"/>
          <w:szCs w:val="28"/>
        </w:rPr>
      </w:pPr>
      <w:r>
        <w:rPr>
          <w:rFonts w:ascii="楷体" w:hAnsi="楷体" w:eastAsia="楷体"/>
          <w:sz w:val="28"/>
          <w:szCs w:val="28"/>
        </w:rPr>
        <w:t>①</w:t>
      </w:r>
      <w:r>
        <w:rPr>
          <w:rFonts w:ascii="楷体" w:hAnsi="楷体" w:eastAsia="楷体"/>
          <w:b/>
          <w:sz w:val="28"/>
          <w:szCs w:val="28"/>
        </w:rPr>
        <w:t>上传加盖公章的</w:t>
      </w:r>
      <w:r>
        <w:rPr>
          <w:rFonts w:hint="eastAsia" w:ascii="楷体" w:hAnsi="楷体" w:eastAsia="楷体"/>
          <w:b/>
          <w:sz w:val="28"/>
          <w:szCs w:val="28"/>
          <w:lang w:val="en-US" w:eastAsia="zh-CN"/>
        </w:rPr>
        <w:t>投标文件</w:t>
      </w:r>
      <w:r>
        <w:rPr>
          <w:rFonts w:ascii="楷体" w:hAnsi="楷体" w:eastAsia="楷体"/>
          <w:b/>
          <w:sz w:val="28"/>
          <w:szCs w:val="28"/>
        </w:rPr>
        <w:t>为附件，未上传视为报价无效</w:t>
      </w:r>
      <w:r>
        <w:rPr>
          <w:rFonts w:hint="eastAsia" w:ascii="楷体" w:hAnsi="楷体" w:eastAsia="楷体"/>
          <w:b/>
          <w:sz w:val="28"/>
          <w:szCs w:val="28"/>
          <w:lang w:eastAsia="zh-CN"/>
        </w:rPr>
        <w:t>（</w:t>
      </w:r>
      <w:r>
        <w:rPr>
          <w:rFonts w:hint="eastAsia" w:ascii="楷体" w:hAnsi="楷体" w:eastAsia="楷体"/>
          <w:b/>
          <w:sz w:val="28"/>
          <w:szCs w:val="28"/>
          <w:lang w:val="en-US" w:eastAsia="zh-CN"/>
        </w:rPr>
        <w:t>报价不得高于拦标价，高于则视为不响应我方招标文件，拦标价详见招标文件</w:t>
      </w:r>
      <w:r>
        <w:rPr>
          <w:rFonts w:hint="eastAsia" w:ascii="楷体" w:hAnsi="楷体" w:eastAsia="楷体"/>
          <w:b/>
          <w:sz w:val="28"/>
          <w:szCs w:val="28"/>
          <w:lang w:eastAsia="zh-CN"/>
        </w:rPr>
        <w:t>）</w:t>
      </w:r>
      <w:r>
        <w:rPr>
          <w:rFonts w:ascii="楷体" w:hAnsi="楷体" w:eastAsia="楷体"/>
          <w:b/>
          <w:sz w:val="28"/>
          <w:szCs w:val="28"/>
        </w:rPr>
        <w:t>。</w:t>
      </w:r>
    </w:p>
    <w:p>
      <w:pPr>
        <w:spacing w:line="480" w:lineRule="auto"/>
        <w:ind w:left="567" w:leftChars="270"/>
        <w:rPr>
          <w:rFonts w:ascii="楷体" w:hAnsi="楷体" w:eastAsia="楷体"/>
          <w:sz w:val="28"/>
          <w:szCs w:val="28"/>
        </w:rPr>
      </w:pPr>
      <w:r>
        <w:rPr>
          <w:rFonts w:hint="eastAsia" w:ascii="仿宋" w:hAnsi="仿宋" w:eastAsia="仿宋" w:cs="仿宋"/>
          <w:sz w:val="28"/>
          <w:szCs w:val="28"/>
        </w:rPr>
        <w:t>②</w:t>
      </w:r>
      <w:r>
        <w:rPr>
          <w:rFonts w:ascii="楷体" w:hAnsi="楷体" w:eastAsia="楷体"/>
          <w:sz w:val="28"/>
          <w:szCs w:val="28"/>
        </w:rPr>
        <w:t>上传相关业绩资料</w:t>
      </w:r>
      <w:r>
        <w:rPr>
          <w:rFonts w:hint="eastAsia" w:ascii="仿宋" w:hAnsi="仿宋" w:eastAsia="仿宋"/>
          <w:sz w:val="28"/>
          <w:szCs w:val="28"/>
        </w:rPr>
        <w:t>（</w:t>
      </w:r>
      <w:r>
        <w:rPr>
          <w:rFonts w:hint="eastAsia" w:ascii="仿宋" w:hAnsi="仿宋" w:eastAsia="仿宋"/>
          <w:sz w:val="28"/>
          <w:szCs w:val="28"/>
          <w:lang w:val="en-US" w:eastAsia="zh-CN"/>
        </w:rPr>
        <w:t>附于投标文件中，</w:t>
      </w:r>
      <w:r>
        <w:rPr>
          <w:rFonts w:hint="eastAsia" w:ascii="仿宋" w:hAnsi="仿宋" w:eastAsia="仿宋"/>
          <w:sz w:val="28"/>
          <w:szCs w:val="28"/>
        </w:rPr>
        <w:t>业绩资料作为评分条件之一）</w:t>
      </w:r>
      <w:r>
        <w:rPr>
          <w:rFonts w:ascii="楷体" w:hAnsi="楷体" w:eastAsia="楷体"/>
          <w:sz w:val="28"/>
          <w:szCs w:val="28"/>
        </w:rPr>
        <w:t>。</w:t>
      </w:r>
    </w:p>
    <w:p>
      <w:pPr>
        <w:pStyle w:val="12"/>
        <w:ind w:firstLine="560"/>
        <w:rPr>
          <w:rFonts w:hint="eastAsia" w:ascii="仿宋_GB2312" w:hAnsi="仿宋_GB2312" w:eastAsia="仿宋_GB2312" w:cs="仿宋_GB2312"/>
          <w:color w:val="000000"/>
          <w:sz w:val="28"/>
          <w:szCs w:val="28"/>
          <w:lang w:val="en-US" w:eastAsia="zh-CN"/>
        </w:rPr>
      </w:pPr>
      <w:r>
        <w:rPr>
          <w:rFonts w:hint="eastAsia" w:ascii="楷体" w:hAnsi="楷体" w:eastAsia="楷体"/>
          <w:sz w:val="28"/>
          <w:szCs w:val="28"/>
          <w:lang w:val="en-US" w:eastAsia="zh-CN"/>
        </w:rPr>
        <w:t>4</w:t>
      </w:r>
      <w:r>
        <w:rPr>
          <w:rFonts w:ascii="楷体" w:hAnsi="楷体" w:eastAsia="楷体"/>
          <w:sz w:val="28"/>
          <w:szCs w:val="28"/>
        </w:rPr>
        <w:t>.</w:t>
      </w:r>
      <w:r>
        <w:rPr>
          <w:rFonts w:hint="eastAsia" w:ascii="仿宋_GB2312" w:hAnsi="仿宋_GB2312" w:eastAsia="仿宋_GB2312" w:cs="仿宋_GB2312"/>
          <w:color w:val="000000"/>
          <w:sz w:val="28"/>
          <w:szCs w:val="28"/>
        </w:rPr>
        <w:t xml:space="preserve"> </w:t>
      </w:r>
      <w:r>
        <w:rPr>
          <w:rFonts w:hint="eastAsia" w:ascii="仿宋_GB2312" w:hAnsi="仿宋_GB2312" w:eastAsia="仿宋_GB2312" w:cs="仿宋_GB2312"/>
          <w:color w:val="000000"/>
          <w:sz w:val="28"/>
          <w:szCs w:val="28"/>
          <w:lang w:val="en-US" w:eastAsia="zh-CN"/>
        </w:rPr>
        <w:t>过程中是否准许调价</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2"/>
        <w:gridCol w:w="71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0" w:type="dxa"/>
            <w:vMerge w:val="restart"/>
            <w:vAlign w:val="center"/>
          </w:tcPr>
          <w:p>
            <w:pPr>
              <w:pStyle w:val="12"/>
              <w:ind w:left="0" w:leftChars="0" w:firstLine="0" w:firstLineChars="0"/>
              <w:jc w:val="center"/>
              <w:rPr>
                <w:rFonts w:hint="default" w:ascii="仿宋_GB2312" w:hAnsi="仿宋_GB2312" w:eastAsia="仿宋_GB2312" w:cs="仿宋_GB2312"/>
                <w:color w:val="000000"/>
                <w:sz w:val="28"/>
                <w:szCs w:val="28"/>
                <w:vertAlign w:val="baseline"/>
                <w:lang w:val="en-US" w:eastAsia="zh-CN"/>
              </w:rPr>
            </w:pPr>
            <w:r>
              <w:rPr>
                <w:rFonts w:hint="eastAsia" w:ascii="仿宋_GB2312" w:hAnsi="仿宋_GB2312" w:eastAsia="仿宋_GB2312" w:cs="仿宋_GB2312"/>
                <w:color w:val="000000"/>
                <w:sz w:val="28"/>
                <w:szCs w:val="28"/>
                <w:vertAlign w:val="baseline"/>
                <w:lang w:val="en-US" w:eastAsia="zh-CN"/>
              </w:rPr>
              <w:sym w:font="Wingdings 2" w:char="00A3"/>
            </w:r>
            <w:r>
              <w:rPr>
                <w:rFonts w:hint="eastAsia" w:ascii="仿宋_GB2312" w:hAnsi="仿宋_GB2312" w:eastAsia="仿宋_GB2312" w:cs="仿宋_GB2312"/>
                <w:color w:val="000000"/>
                <w:sz w:val="28"/>
                <w:szCs w:val="28"/>
                <w:vertAlign w:val="baseline"/>
                <w:lang w:val="en-US" w:eastAsia="zh-CN"/>
              </w:rPr>
              <w:t>是</w:t>
            </w:r>
          </w:p>
        </w:tc>
        <w:tc>
          <w:tcPr>
            <w:tcW w:w="7786" w:type="dxa"/>
          </w:tcPr>
          <w:p>
            <w:pPr>
              <w:pStyle w:val="12"/>
              <w:rPr>
                <w:rFonts w:hint="default" w:ascii="仿宋_GB2312" w:hAnsi="仿宋_GB2312" w:eastAsia="仿宋_GB2312" w:cs="仿宋_GB2312"/>
                <w:color w:val="000000"/>
                <w:sz w:val="28"/>
                <w:szCs w:val="28"/>
                <w:vertAlign w:val="baseline"/>
                <w:lang w:val="en-US" w:eastAsia="zh-CN"/>
              </w:rPr>
            </w:pPr>
            <w:r>
              <w:rPr>
                <w:rFonts w:hint="eastAsia" w:ascii="仿宋_GB2312" w:hAnsi="仿宋_GB2312" w:eastAsia="仿宋_GB2312" w:cs="仿宋_GB2312"/>
                <w:color w:val="000000"/>
                <w:sz w:val="28"/>
                <w:szCs w:val="28"/>
                <w:vertAlign w:val="baseline"/>
                <w:lang w:val="en-US" w:eastAsia="zh-CN"/>
              </w:rPr>
              <w:sym w:font="Wingdings 2" w:char="00A3"/>
            </w:r>
            <w:r>
              <w:rPr>
                <w:rFonts w:hint="eastAsia" w:ascii="仿宋_GB2312" w:hAnsi="仿宋_GB2312" w:eastAsia="仿宋_GB2312" w:cs="仿宋_GB2312"/>
                <w:color w:val="000000"/>
                <w:sz w:val="28"/>
                <w:szCs w:val="28"/>
                <w:vertAlign w:val="baseline"/>
                <w:lang w:val="en-US" w:eastAsia="zh-CN"/>
              </w:rPr>
              <w:t>中标后3个月不允许调价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0" w:type="dxa"/>
            <w:vMerge w:val="continue"/>
          </w:tcPr>
          <w:p>
            <w:pPr>
              <w:pStyle w:val="12"/>
              <w:rPr>
                <w:rFonts w:hint="default" w:ascii="仿宋_GB2312" w:hAnsi="仿宋_GB2312" w:eastAsia="仿宋_GB2312" w:cs="仿宋_GB2312"/>
                <w:color w:val="000000"/>
                <w:sz w:val="28"/>
                <w:szCs w:val="28"/>
                <w:vertAlign w:val="baseline"/>
                <w:lang w:val="en-US" w:eastAsia="zh-CN"/>
              </w:rPr>
            </w:pPr>
          </w:p>
        </w:tc>
        <w:tc>
          <w:tcPr>
            <w:tcW w:w="7786" w:type="dxa"/>
          </w:tcPr>
          <w:p>
            <w:pPr>
              <w:pStyle w:val="12"/>
              <w:rPr>
                <w:rFonts w:hint="default" w:ascii="仿宋_GB2312" w:hAnsi="仿宋_GB2312" w:eastAsia="仿宋_GB2312" w:cs="仿宋_GB2312"/>
                <w:color w:val="000000"/>
                <w:sz w:val="28"/>
                <w:szCs w:val="28"/>
                <w:vertAlign w:val="baseline"/>
                <w:lang w:val="en-US" w:eastAsia="zh-CN"/>
              </w:rPr>
            </w:pPr>
            <w:r>
              <w:rPr>
                <w:rFonts w:hint="eastAsia" w:ascii="仿宋_GB2312" w:hAnsi="仿宋_GB2312" w:eastAsia="仿宋_GB2312" w:cs="仿宋_GB2312"/>
                <w:color w:val="000000"/>
                <w:sz w:val="28"/>
                <w:szCs w:val="28"/>
                <w:vertAlign w:val="baseline"/>
                <w:lang w:val="en-US" w:eastAsia="zh-CN"/>
              </w:rPr>
              <w:sym w:font="Wingdings 2" w:char="00A3"/>
            </w:r>
            <w:r>
              <w:rPr>
                <w:rFonts w:hint="eastAsia" w:ascii="仿宋_GB2312" w:hAnsi="仿宋_GB2312" w:eastAsia="仿宋_GB2312" w:cs="仿宋_GB2312"/>
                <w:color w:val="000000"/>
                <w:sz w:val="28"/>
                <w:szCs w:val="28"/>
                <w:vertAlign w:val="baseline"/>
                <w:lang w:val="en-US" w:eastAsia="zh-CN"/>
              </w:rPr>
              <w:t>中标后合同签订前不允许调价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0" w:type="dxa"/>
            <w:vAlign w:val="center"/>
          </w:tcPr>
          <w:p>
            <w:pPr>
              <w:pStyle w:val="12"/>
              <w:ind w:left="0" w:leftChars="0" w:firstLine="0" w:firstLineChars="0"/>
              <w:jc w:val="center"/>
              <w:rPr>
                <w:rFonts w:hint="default" w:ascii="仿宋_GB2312" w:hAnsi="仿宋_GB2312" w:eastAsia="仿宋_GB2312" w:cs="仿宋_GB2312"/>
                <w:color w:val="000000"/>
                <w:sz w:val="28"/>
                <w:szCs w:val="28"/>
                <w:vertAlign w:val="baseline"/>
                <w:lang w:val="en-US" w:eastAsia="zh-CN"/>
              </w:rPr>
            </w:pPr>
            <w:r>
              <w:rPr>
                <w:rFonts w:hint="eastAsia" w:ascii="仿宋_GB2312" w:hAnsi="仿宋_GB2312" w:eastAsia="仿宋_GB2312" w:cs="仿宋_GB2312"/>
                <w:color w:val="000000"/>
                <w:sz w:val="28"/>
                <w:szCs w:val="28"/>
                <w:vertAlign w:val="baseline"/>
                <w:lang w:val="en-US" w:eastAsia="zh-CN"/>
              </w:rPr>
              <w:sym w:font="Wingdings 2" w:char="0052"/>
            </w:r>
            <w:r>
              <w:rPr>
                <w:rFonts w:hint="eastAsia" w:ascii="仿宋_GB2312" w:hAnsi="仿宋_GB2312" w:eastAsia="仿宋_GB2312" w:cs="仿宋_GB2312"/>
                <w:color w:val="000000"/>
                <w:sz w:val="28"/>
                <w:szCs w:val="28"/>
                <w:vertAlign w:val="baseline"/>
                <w:lang w:val="en-US" w:eastAsia="zh-CN"/>
              </w:rPr>
              <w:t>否</w:t>
            </w:r>
          </w:p>
        </w:tc>
        <w:tc>
          <w:tcPr>
            <w:tcW w:w="7786" w:type="dxa"/>
          </w:tcPr>
          <w:p>
            <w:pPr>
              <w:pStyle w:val="12"/>
              <w:rPr>
                <w:rFonts w:hint="default" w:ascii="仿宋_GB2312" w:hAnsi="仿宋_GB2312" w:eastAsia="仿宋_GB2312" w:cs="仿宋_GB2312"/>
                <w:color w:val="000000"/>
                <w:sz w:val="28"/>
                <w:szCs w:val="28"/>
                <w:vertAlign w:val="baseline"/>
                <w:lang w:val="en-US" w:eastAsia="zh-CN"/>
              </w:rPr>
            </w:pPr>
            <w:r>
              <w:rPr>
                <w:rFonts w:hint="eastAsia" w:ascii="仿宋_GB2312" w:hAnsi="仿宋_GB2312" w:eastAsia="仿宋_GB2312" w:cs="仿宋_GB2312"/>
                <w:color w:val="000000"/>
                <w:sz w:val="28"/>
                <w:szCs w:val="28"/>
                <w:vertAlign w:val="baseline"/>
                <w:lang w:val="en-US" w:eastAsia="zh-CN"/>
              </w:rPr>
              <w:t>从中标开始到供货结束不允许调价</w:t>
            </w:r>
          </w:p>
        </w:tc>
      </w:tr>
    </w:tbl>
    <w:p>
      <w:pPr>
        <w:rPr>
          <w:rFonts w:ascii="楷体" w:hAnsi="楷体" w:eastAsia="楷体"/>
          <w:sz w:val="28"/>
          <w:szCs w:val="28"/>
        </w:rPr>
      </w:pPr>
    </w:p>
    <w:p>
      <w:pPr>
        <w:rPr>
          <w:rFonts w:hint="eastAsia" w:ascii="楷体" w:hAnsi="楷体" w:eastAsia="楷体"/>
          <w:sz w:val="28"/>
          <w:szCs w:val="28"/>
          <w:lang w:val="en-US" w:eastAsia="zh-CN"/>
        </w:rPr>
      </w:pPr>
      <w:r>
        <w:rPr>
          <w:rFonts w:hint="eastAsia" w:ascii="楷体" w:hAnsi="楷体" w:eastAsia="楷体"/>
          <w:sz w:val="28"/>
          <w:szCs w:val="28"/>
        </w:rPr>
        <w:t>五、质量要求：</w:t>
      </w:r>
      <w:r>
        <w:rPr>
          <w:rFonts w:hint="eastAsia" w:ascii="楷体" w:hAnsi="楷体" w:eastAsia="楷体"/>
          <w:sz w:val="28"/>
          <w:szCs w:val="28"/>
          <w:lang w:val="en-US" w:eastAsia="zh-CN"/>
        </w:rPr>
        <w:t>乙方</w:t>
      </w:r>
      <w:r>
        <w:rPr>
          <w:rFonts w:hint="eastAsia" w:ascii="楷体" w:hAnsi="楷体" w:eastAsia="楷体"/>
          <w:sz w:val="28"/>
          <w:szCs w:val="28"/>
          <w:lang w:val="zh-CN" w:eastAsia="zh-CN"/>
        </w:rPr>
        <w:t>供应</w:t>
      </w:r>
      <w:r>
        <w:rPr>
          <w:rFonts w:hint="eastAsia" w:ascii="楷体" w:hAnsi="楷体" w:eastAsia="楷体"/>
          <w:sz w:val="28"/>
          <w:szCs w:val="28"/>
          <w:lang w:val="en-US" w:eastAsia="zh-CN"/>
        </w:rPr>
        <w:t>钢筋混凝土预制品应符合《混凝土结构通用规范》（GB55008-2021）素混凝土结构构件的混凝土强度等级不应低于C20，钢筋混凝土结构构件的混凝土等级不应低于C25。</w:t>
      </w:r>
    </w:p>
    <w:p>
      <w:pPr>
        <w:rPr>
          <w:rFonts w:ascii="楷体" w:hAnsi="楷体" w:eastAsia="楷体"/>
          <w:sz w:val="28"/>
          <w:szCs w:val="28"/>
        </w:rPr>
      </w:pPr>
      <w:r>
        <w:rPr>
          <w:rFonts w:hint="eastAsia" w:ascii="楷体" w:hAnsi="楷体" w:eastAsia="楷体"/>
          <w:sz w:val="28"/>
          <w:szCs w:val="28"/>
          <w:lang w:val="en-US" w:eastAsia="zh-CN"/>
        </w:rPr>
        <w:t>严格按照上述标准、有关规定,满足技术性能指标,符合设计施工图纸要求。合同履行期间,如国家颁布新的技术规范和技术要求,按新的标准执行。</w:t>
      </w:r>
    </w:p>
    <w:p>
      <w:pPr>
        <w:rPr>
          <w:rFonts w:hint="eastAsia" w:ascii="楷体" w:hAnsi="楷体" w:eastAsia="楷体"/>
          <w:sz w:val="28"/>
          <w:szCs w:val="28"/>
        </w:rPr>
      </w:pPr>
      <w:r>
        <w:rPr>
          <w:rFonts w:hint="eastAsia" w:ascii="楷体" w:hAnsi="楷体" w:eastAsia="楷体"/>
          <w:sz w:val="28"/>
          <w:szCs w:val="28"/>
        </w:rPr>
        <w:t>六</w:t>
      </w:r>
      <w:r>
        <w:rPr>
          <w:rFonts w:hint="eastAsia" w:ascii="楷体" w:hAnsi="楷体" w:eastAsia="楷体"/>
          <w:sz w:val="28"/>
          <w:szCs w:val="28"/>
          <w:highlight w:val="none"/>
        </w:rPr>
        <w:t>、付款方式（条件）：</w:t>
      </w:r>
    </w:p>
    <w:p>
      <w:pPr>
        <w:rPr>
          <w:rFonts w:hint="eastAsia" w:ascii="楷体" w:hAnsi="楷体" w:eastAsia="楷体"/>
          <w:sz w:val="28"/>
          <w:szCs w:val="28"/>
          <w:lang w:eastAsia="zh-CN"/>
        </w:rPr>
      </w:pPr>
      <w:r>
        <w:rPr>
          <w:rFonts w:hint="eastAsia" w:ascii="楷体" w:hAnsi="楷体" w:eastAsia="楷体"/>
          <w:sz w:val="28"/>
          <w:szCs w:val="28"/>
        </w:rPr>
        <w:t>1.</w:t>
      </w:r>
      <w:r>
        <w:rPr>
          <w:rFonts w:hint="eastAsia" w:ascii="楷体" w:hAnsi="楷体" w:eastAsia="楷体"/>
          <w:sz w:val="28"/>
          <w:szCs w:val="28"/>
          <w:lang w:val="en-US" w:eastAsia="zh-CN"/>
        </w:rPr>
        <w:t>供货时带随货同行签收单,货到工地后,需方点收货物无误,在随货同行签收单上签字签收,作为结算依据。</w:t>
      </w:r>
      <w:r>
        <w:rPr>
          <w:rFonts w:hint="eastAsia" w:ascii="楷体" w:hAnsi="楷体" w:eastAsia="楷体"/>
          <w:sz w:val="28"/>
          <w:szCs w:val="28"/>
        </w:rPr>
        <w:t>每月20日前供应商必须与项目部进行对账，双方确认</w:t>
      </w:r>
      <w:r>
        <w:rPr>
          <w:rFonts w:hint="eastAsia" w:ascii="楷体" w:hAnsi="楷体" w:eastAsia="楷体"/>
          <w:sz w:val="28"/>
          <w:szCs w:val="28"/>
          <w:lang w:eastAsia="zh-CN"/>
        </w:rPr>
        <w:t>。</w:t>
      </w:r>
    </w:p>
    <w:p>
      <w:pPr>
        <w:rPr>
          <w:rFonts w:hint="eastAsia" w:ascii="仿宋_GB2312" w:hAnsi="仿宋" w:eastAsia="仿宋_GB2312" w:cs="Times New Roman"/>
          <w:lang w:val="en-US" w:eastAsia="zh-CN"/>
        </w:rPr>
      </w:pPr>
      <w:r>
        <w:rPr>
          <w:rFonts w:hint="eastAsia" w:ascii="楷体" w:hAnsi="楷体" w:eastAsia="楷体"/>
          <w:sz w:val="28"/>
          <w:szCs w:val="28"/>
          <w:lang w:val="en-US" w:eastAsia="zh-CN"/>
        </w:rPr>
        <w:t>2.2023年1月21日前支付总结算金额的50%（百分之五十）；</w:t>
      </w:r>
      <w:r>
        <w:rPr>
          <w:rFonts w:hint="eastAsia" w:ascii="楷体" w:hAnsi="楷体" w:eastAsia="楷体"/>
          <w:sz w:val="28"/>
          <w:szCs w:val="28"/>
          <w:lang w:val="en-US" w:eastAsia="zh-CN"/>
        </w:rPr>
        <w:br w:type="textWrapping"/>
      </w:r>
      <w:r>
        <w:rPr>
          <w:rFonts w:hint="eastAsia" w:ascii="楷体" w:hAnsi="楷体" w:eastAsia="楷体"/>
          <w:sz w:val="28"/>
          <w:szCs w:val="28"/>
          <w:lang w:val="en-US" w:eastAsia="zh-CN"/>
        </w:rPr>
        <w:t>2024年2月29日前支付总结算金额的30%（百分之三十）；</w:t>
      </w:r>
      <w:r>
        <w:rPr>
          <w:rFonts w:hint="eastAsia" w:ascii="楷体" w:hAnsi="楷体" w:eastAsia="楷体"/>
          <w:sz w:val="28"/>
          <w:szCs w:val="28"/>
          <w:lang w:val="en-US" w:eastAsia="zh-CN"/>
        </w:rPr>
        <w:br w:type="textWrapping"/>
      </w:r>
      <w:r>
        <w:rPr>
          <w:rFonts w:hint="eastAsia" w:ascii="楷体" w:hAnsi="楷体" w:eastAsia="楷体"/>
          <w:sz w:val="28"/>
          <w:szCs w:val="28"/>
          <w:lang w:val="en-US" w:eastAsia="zh-CN"/>
        </w:rPr>
        <w:t>2025年2月28日前支付总结算金额的20%（百分之二十）；</w:t>
      </w:r>
    </w:p>
    <w:p>
      <w:pPr>
        <w:rPr>
          <w:rFonts w:hint="default" w:ascii="楷体" w:hAnsi="楷体" w:eastAsia="楷体"/>
          <w:sz w:val="28"/>
          <w:szCs w:val="28"/>
          <w:lang w:val="en-US" w:eastAsia="zh-CN"/>
        </w:rPr>
      </w:pPr>
      <w:r>
        <w:rPr>
          <w:rFonts w:hint="eastAsia" w:ascii="楷体" w:hAnsi="楷体" w:eastAsia="楷体"/>
          <w:sz w:val="28"/>
          <w:szCs w:val="28"/>
          <w:lang w:val="en-US" w:eastAsia="zh-CN"/>
        </w:rPr>
        <w:t>3.所有货款、工程款、租金均是无息支付，出现甲方无法全额支付款项的，乙方自动放弃对资金占用费及利息等费用的主张。</w:t>
      </w:r>
    </w:p>
    <w:p>
      <w:pPr>
        <w:rPr>
          <w:rFonts w:ascii="楷体" w:hAnsi="楷体" w:eastAsia="楷体"/>
          <w:sz w:val="28"/>
          <w:szCs w:val="28"/>
        </w:rPr>
      </w:pPr>
      <w:r>
        <w:rPr>
          <w:rFonts w:hint="eastAsia" w:ascii="楷体" w:hAnsi="楷体" w:eastAsia="楷体"/>
          <w:sz w:val="28"/>
          <w:szCs w:val="28"/>
        </w:rPr>
        <w:t>七、交货期：合同</w:t>
      </w:r>
      <w:r>
        <w:rPr>
          <w:rFonts w:hint="eastAsia" w:ascii="楷体" w:hAnsi="楷体" w:eastAsia="楷体"/>
          <w:sz w:val="28"/>
          <w:szCs w:val="28"/>
          <w:lang w:val="en-US" w:eastAsia="zh-CN"/>
        </w:rPr>
        <w:t>签订</w:t>
      </w:r>
      <w:r>
        <w:rPr>
          <w:rFonts w:hint="eastAsia" w:ascii="楷体" w:hAnsi="楷体" w:eastAsia="楷体"/>
          <w:sz w:val="28"/>
          <w:szCs w:val="28"/>
        </w:rPr>
        <w:t>后，根据项目部通知签订</w:t>
      </w:r>
      <w:r>
        <w:rPr>
          <w:rFonts w:ascii="楷体" w:hAnsi="楷体" w:eastAsia="楷体"/>
          <w:sz w:val="28"/>
          <w:szCs w:val="28"/>
        </w:rPr>
        <w:t>1天内。</w:t>
      </w:r>
    </w:p>
    <w:p>
      <w:pPr>
        <w:rPr>
          <w:rFonts w:hint="eastAsia" w:ascii="楷体" w:hAnsi="楷体" w:eastAsia="楷体"/>
          <w:sz w:val="28"/>
          <w:szCs w:val="28"/>
          <w:lang w:val="en-US" w:eastAsia="zh-CN"/>
        </w:rPr>
      </w:pPr>
      <w:r>
        <w:rPr>
          <w:rFonts w:hint="eastAsia" w:ascii="楷体" w:hAnsi="楷体" w:eastAsia="楷体"/>
          <w:sz w:val="28"/>
          <w:szCs w:val="28"/>
        </w:rPr>
        <w:t>八、交货地点：</w:t>
      </w:r>
      <w:r>
        <w:rPr>
          <w:rFonts w:hint="eastAsia" w:ascii="楷体" w:hAnsi="楷体" w:eastAsia="楷体"/>
          <w:sz w:val="28"/>
          <w:szCs w:val="28"/>
          <w:lang w:val="en-US" w:eastAsia="zh-CN"/>
        </w:rPr>
        <w:t xml:space="preserve">大理市下关镇建设路西段(人民路-南涧路)  </w:t>
      </w:r>
    </w:p>
    <w:p>
      <w:pPr>
        <w:rPr>
          <w:rFonts w:ascii="楷体" w:hAnsi="楷体" w:eastAsia="楷体"/>
          <w:sz w:val="28"/>
          <w:szCs w:val="28"/>
        </w:rPr>
      </w:pPr>
      <w:r>
        <w:rPr>
          <w:rFonts w:hint="eastAsia" w:ascii="楷体" w:hAnsi="楷体" w:eastAsia="楷体"/>
          <w:sz w:val="28"/>
          <w:szCs w:val="28"/>
        </w:rPr>
        <w:t>九、</w:t>
      </w:r>
      <w:r>
        <w:rPr>
          <w:rFonts w:hint="eastAsia" w:ascii="楷体" w:hAnsi="楷体" w:eastAsia="楷体"/>
          <w:sz w:val="28"/>
          <w:szCs w:val="28"/>
          <w:highlight w:val="none"/>
        </w:rPr>
        <w:t>投标报名截止时间</w:t>
      </w:r>
      <w:r>
        <w:rPr>
          <w:rFonts w:hint="eastAsia" w:ascii="楷体" w:hAnsi="楷体" w:eastAsia="楷体"/>
          <w:sz w:val="28"/>
          <w:szCs w:val="28"/>
        </w:rPr>
        <w:t>：必须于</w:t>
      </w:r>
      <w:r>
        <w:rPr>
          <w:rFonts w:ascii="楷体" w:hAnsi="楷体" w:eastAsia="楷体"/>
          <w:sz w:val="28"/>
          <w:szCs w:val="28"/>
        </w:rPr>
        <w:t>202</w:t>
      </w:r>
      <w:r>
        <w:rPr>
          <w:rFonts w:hint="eastAsia" w:ascii="楷体" w:hAnsi="楷体" w:eastAsia="楷体"/>
          <w:sz w:val="28"/>
          <w:szCs w:val="28"/>
          <w:lang w:val="en-US" w:eastAsia="zh-CN"/>
        </w:rPr>
        <w:t>3</w:t>
      </w:r>
      <w:r>
        <w:rPr>
          <w:rFonts w:ascii="楷体" w:hAnsi="楷体" w:eastAsia="楷体"/>
          <w:sz w:val="28"/>
          <w:szCs w:val="28"/>
        </w:rPr>
        <w:t>年</w:t>
      </w:r>
      <w:r>
        <w:rPr>
          <w:rFonts w:hint="eastAsia" w:ascii="楷体" w:hAnsi="楷体" w:eastAsia="楷体"/>
          <w:sz w:val="28"/>
          <w:szCs w:val="28"/>
          <w:lang w:val="en-US" w:eastAsia="zh-CN"/>
        </w:rPr>
        <w:t>1</w:t>
      </w:r>
      <w:r>
        <w:rPr>
          <w:rFonts w:ascii="楷体" w:hAnsi="楷体" w:eastAsia="楷体"/>
          <w:sz w:val="28"/>
          <w:szCs w:val="28"/>
        </w:rPr>
        <w:t>月</w:t>
      </w:r>
      <w:r>
        <w:rPr>
          <w:rFonts w:hint="eastAsia" w:ascii="楷体" w:hAnsi="楷体" w:eastAsia="楷体"/>
          <w:sz w:val="28"/>
          <w:szCs w:val="28"/>
          <w:lang w:val="en-US" w:eastAsia="zh-CN"/>
        </w:rPr>
        <w:t>6</w:t>
      </w:r>
      <w:r>
        <w:rPr>
          <w:rFonts w:ascii="楷体" w:hAnsi="楷体" w:eastAsia="楷体"/>
          <w:sz w:val="28"/>
          <w:szCs w:val="28"/>
        </w:rPr>
        <w:t>日</w:t>
      </w:r>
      <w:r>
        <w:rPr>
          <w:rFonts w:hint="eastAsia" w:ascii="楷体" w:hAnsi="楷体" w:eastAsia="楷体"/>
          <w:sz w:val="28"/>
          <w:szCs w:val="28"/>
          <w:lang w:val="en-US" w:eastAsia="zh-CN"/>
        </w:rPr>
        <w:t>上</w:t>
      </w:r>
      <w:r>
        <w:rPr>
          <w:rFonts w:ascii="楷体" w:hAnsi="楷体" w:eastAsia="楷体"/>
          <w:sz w:val="28"/>
          <w:szCs w:val="28"/>
        </w:rPr>
        <w:t>午1</w:t>
      </w:r>
      <w:r>
        <w:rPr>
          <w:rFonts w:hint="eastAsia" w:ascii="楷体" w:hAnsi="楷体" w:eastAsia="楷体"/>
          <w:sz w:val="28"/>
          <w:szCs w:val="28"/>
          <w:lang w:val="en-US" w:eastAsia="zh-CN"/>
        </w:rPr>
        <w:t>1</w:t>
      </w:r>
      <w:r>
        <w:rPr>
          <w:rFonts w:ascii="楷体" w:hAnsi="楷体" w:eastAsia="楷体"/>
          <w:sz w:val="28"/>
          <w:szCs w:val="28"/>
        </w:rPr>
        <w:t>:00前到云南建投电子商务平台上进行报名，逾期不受理。</w:t>
      </w:r>
    </w:p>
    <w:p>
      <w:pPr>
        <w:rPr>
          <w:rFonts w:ascii="楷体" w:hAnsi="楷体" w:eastAsia="楷体"/>
          <w:sz w:val="28"/>
          <w:szCs w:val="28"/>
        </w:rPr>
      </w:pPr>
      <w:r>
        <w:rPr>
          <w:rFonts w:hint="eastAsia" w:ascii="楷体" w:hAnsi="楷体" w:eastAsia="楷体"/>
          <w:sz w:val="28"/>
          <w:szCs w:val="28"/>
        </w:rPr>
        <w:t>十、开标时间及地点</w:t>
      </w:r>
    </w:p>
    <w:p>
      <w:pPr>
        <w:rPr>
          <w:rFonts w:ascii="楷体" w:hAnsi="楷体" w:eastAsia="楷体"/>
          <w:sz w:val="28"/>
          <w:szCs w:val="28"/>
        </w:rPr>
      </w:pPr>
      <w:r>
        <w:rPr>
          <w:rFonts w:ascii="楷体" w:hAnsi="楷体" w:eastAsia="楷体"/>
          <w:sz w:val="28"/>
          <w:szCs w:val="28"/>
        </w:rPr>
        <w:t>1.开标时间：20</w:t>
      </w:r>
      <w:r>
        <w:rPr>
          <w:rFonts w:hint="eastAsia" w:ascii="楷体" w:hAnsi="楷体" w:eastAsia="楷体"/>
          <w:sz w:val="28"/>
          <w:szCs w:val="28"/>
          <w:lang w:val="en-US" w:eastAsia="zh-CN"/>
        </w:rPr>
        <w:t>23</w:t>
      </w:r>
      <w:r>
        <w:rPr>
          <w:rFonts w:ascii="楷体" w:hAnsi="楷体" w:eastAsia="楷体"/>
          <w:sz w:val="28"/>
          <w:szCs w:val="28"/>
        </w:rPr>
        <w:t>年</w:t>
      </w:r>
      <w:r>
        <w:rPr>
          <w:rFonts w:hint="eastAsia" w:ascii="楷体" w:hAnsi="楷体" w:eastAsia="楷体"/>
          <w:sz w:val="28"/>
          <w:szCs w:val="28"/>
          <w:lang w:val="en-US" w:eastAsia="zh-CN"/>
        </w:rPr>
        <w:t>1</w:t>
      </w:r>
      <w:r>
        <w:rPr>
          <w:rFonts w:ascii="楷体" w:hAnsi="楷体" w:eastAsia="楷体"/>
          <w:sz w:val="28"/>
          <w:szCs w:val="28"/>
        </w:rPr>
        <w:t>月</w:t>
      </w:r>
      <w:r>
        <w:rPr>
          <w:rFonts w:hint="eastAsia" w:ascii="楷体" w:hAnsi="楷体" w:eastAsia="楷体"/>
          <w:sz w:val="28"/>
          <w:szCs w:val="28"/>
          <w:lang w:val="en-US" w:eastAsia="zh-CN"/>
        </w:rPr>
        <w:t>10</w:t>
      </w:r>
      <w:r>
        <w:rPr>
          <w:rFonts w:ascii="楷体" w:hAnsi="楷体" w:eastAsia="楷体"/>
          <w:sz w:val="28"/>
          <w:szCs w:val="28"/>
        </w:rPr>
        <w:t>日</w:t>
      </w:r>
      <w:r>
        <w:rPr>
          <w:rFonts w:hint="eastAsia" w:ascii="楷体" w:hAnsi="楷体" w:eastAsia="楷体"/>
          <w:sz w:val="28"/>
          <w:szCs w:val="28"/>
          <w:lang w:val="en-US" w:eastAsia="zh-CN"/>
        </w:rPr>
        <w:t>上</w:t>
      </w:r>
      <w:r>
        <w:rPr>
          <w:rFonts w:ascii="楷体" w:hAnsi="楷体" w:eastAsia="楷体"/>
          <w:sz w:val="28"/>
          <w:szCs w:val="28"/>
        </w:rPr>
        <w:t>午1</w:t>
      </w:r>
      <w:r>
        <w:rPr>
          <w:rFonts w:hint="eastAsia" w:ascii="楷体" w:hAnsi="楷体" w:eastAsia="楷体"/>
          <w:sz w:val="28"/>
          <w:szCs w:val="28"/>
          <w:lang w:val="en-US" w:eastAsia="zh-CN"/>
        </w:rPr>
        <w:t>1</w:t>
      </w:r>
      <w:bookmarkStart w:id="1" w:name="_GoBack"/>
      <w:bookmarkEnd w:id="1"/>
      <w:r>
        <w:rPr>
          <w:rFonts w:ascii="楷体" w:hAnsi="楷体" w:eastAsia="楷体"/>
          <w:sz w:val="28"/>
          <w:szCs w:val="28"/>
        </w:rPr>
        <w:t>：00在网上进行开标。</w:t>
      </w:r>
    </w:p>
    <w:p>
      <w:pPr>
        <w:rPr>
          <w:rFonts w:hint="eastAsia" w:ascii="楷体" w:hAnsi="楷体" w:eastAsia="楷体"/>
          <w:sz w:val="28"/>
          <w:szCs w:val="28"/>
          <w:lang w:eastAsia="zh-CN"/>
        </w:rPr>
      </w:pPr>
      <w:r>
        <w:rPr>
          <w:rFonts w:ascii="楷体" w:hAnsi="楷体" w:eastAsia="楷体"/>
          <w:sz w:val="28"/>
          <w:szCs w:val="28"/>
        </w:rPr>
        <w:t>2.地点：云南建投电子商务平台</w:t>
      </w:r>
      <w:r>
        <w:rPr>
          <w:rFonts w:hint="eastAsia" w:ascii="楷体" w:hAnsi="楷体" w:eastAsia="楷体"/>
          <w:sz w:val="28"/>
          <w:szCs w:val="28"/>
          <w:lang w:eastAsia="zh-CN"/>
        </w:rPr>
        <w:t>（</w:t>
      </w:r>
      <w:r>
        <w:rPr>
          <w:rFonts w:ascii="楷体" w:hAnsi="楷体" w:eastAsia="楷体"/>
          <w:sz w:val="28"/>
          <w:szCs w:val="28"/>
        </w:rPr>
        <w:t>http://www.inja.com</w:t>
      </w:r>
      <w:r>
        <w:rPr>
          <w:rFonts w:hint="eastAsia" w:ascii="楷体" w:hAnsi="楷体" w:eastAsia="楷体"/>
          <w:sz w:val="28"/>
          <w:szCs w:val="28"/>
          <w:lang w:eastAsia="zh-CN"/>
        </w:rPr>
        <w:t>）</w:t>
      </w:r>
    </w:p>
    <w:p>
      <w:pPr>
        <w:rPr>
          <w:rFonts w:ascii="楷体" w:hAnsi="楷体" w:eastAsia="楷体"/>
          <w:sz w:val="28"/>
          <w:szCs w:val="28"/>
        </w:rPr>
      </w:pPr>
      <w:r>
        <w:rPr>
          <w:rFonts w:hint="eastAsia" w:ascii="楷体" w:hAnsi="楷体" w:eastAsia="楷体"/>
          <w:sz w:val="28"/>
          <w:szCs w:val="28"/>
        </w:rPr>
        <w:t>十一、联系方式</w:t>
      </w:r>
    </w:p>
    <w:p>
      <w:pPr>
        <w:rPr>
          <w:rFonts w:ascii="楷体" w:hAnsi="楷体" w:eastAsia="楷体"/>
          <w:sz w:val="28"/>
          <w:szCs w:val="28"/>
        </w:rPr>
      </w:pPr>
      <w:r>
        <w:rPr>
          <w:rFonts w:hint="eastAsia" w:ascii="楷体" w:hAnsi="楷体" w:eastAsia="楷体"/>
          <w:sz w:val="28"/>
          <w:szCs w:val="28"/>
        </w:rPr>
        <w:t>联系人：</w:t>
      </w:r>
      <w:r>
        <w:rPr>
          <w:rFonts w:ascii="楷体" w:hAnsi="楷体" w:eastAsia="楷体"/>
          <w:sz w:val="28"/>
          <w:szCs w:val="28"/>
        </w:rPr>
        <w:t xml:space="preserve"> </w:t>
      </w:r>
      <w:r>
        <w:rPr>
          <w:rFonts w:hint="eastAsia" w:ascii="楷体" w:hAnsi="楷体" w:eastAsia="楷体"/>
          <w:sz w:val="28"/>
          <w:szCs w:val="28"/>
          <w:lang w:eastAsia="zh-CN"/>
        </w:rPr>
        <w:t>赵伟</w:t>
      </w:r>
      <w:r>
        <w:rPr>
          <w:rFonts w:ascii="楷体" w:hAnsi="楷体" w:eastAsia="楷体"/>
          <w:sz w:val="28"/>
          <w:szCs w:val="28"/>
        </w:rPr>
        <w:t xml:space="preserve">  </w:t>
      </w:r>
    </w:p>
    <w:p>
      <w:pPr>
        <w:rPr>
          <w:rFonts w:hint="default" w:ascii="楷体" w:hAnsi="楷体" w:eastAsia="楷体"/>
          <w:sz w:val="28"/>
          <w:szCs w:val="28"/>
          <w:lang w:val="en-US" w:eastAsia="zh-CN"/>
        </w:rPr>
      </w:pPr>
      <w:r>
        <w:rPr>
          <w:rFonts w:hint="eastAsia" w:ascii="楷体" w:hAnsi="楷体" w:eastAsia="楷体"/>
          <w:sz w:val="28"/>
          <w:szCs w:val="28"/>
        </w:rPr>
        <w:t>电话：</w:t>
      </w:r>
      <w:r>
        <w:rPr>
          <w:rFonts w:ascii="楷体" w:hAnsi="楷体" w:eastAsia="楷体"/>
          <w:sz w:val="28"/>
          <w:szCs w:val="28"/>
        </w:rPr>
        <w:t xml:space="preserve"> </w:t>
      </w:r>
      <w:r>
        <w:rPr>
          <w:rFonts w:hint="eastAsia" w:ascii="楷体" w:hAnsi="楷体" w:eastAsia="楷体"/>
          <w:sz w:val="28"/>
          <w:szCs w:val="28"/>
          <w:lang w:val="en-US" w:eastAsia="zh-CN"/>
        </w:rPr>
        <w:t>15750237401</w:t>
      </w:r>
    </w:p>
    <w:p>
      <w:pPr>
        <w:rPr>
          <w:rFonts w:hint="eastAsia" w:ascii="楷体" w:hAnsi="楷体" w:eastAsia="楷体"/>
          <w:sz w:val="28"/>
          <w:szCs w:val="28"/>
        </w:rPr>
      </w:pPr>
      <w:r>
        <w:rPr>
          <w:rFonts w:hint="eastAsia" w:ascii="楷体" w:hAnsi="楷体" w:eastAsia="楷体"/>
          <w:sz w:val="28"/>
          <w:szCs w:val="28"/>
        </w:rPr>
        <w:t>邮</w:t>
      </w:r>
      <w:r>
        <w:rPr>
          <w:rFonts w:ascii="楷体" w:hAnsi="楷体" w:eastAsia="楷体"/>
          <w:sz w:val="28"/>
          <w:szCs w:val="28"/>
        </w:rPr>
        <w:t xml:space="preserve"> 箱： </w:t>
      </w:r>
      <w:r>
        <w:rPr>
          <w:rFonts w:hint="eastAsia" w:ascii="楷体" w:hAnsi="楷体" w:eastAsia="楷体"/>
          <w:sz w:val="28"/>
          <w:szCs w:val="28"/>
          <w:lang w:val="en-US" w:eastAsia="zh-CN"/>
        </w:rPr>
        <w:t>339767030</w:t>
      </w:r>
      <w:r>
        <w:rPr>
          <w:rFonts w:ascii="楷体" w:hAnsi="楷体" w:eastAsia="楷体"/>
          <w:sz w:val="28"/>
          <w:szCs w:val="28"/>
        </w:rPr>
        <w:t xml:space="preserve"> @qq.com</w:t>
      </w:r>
      <w:bookmarkEnd w:id="0"/>
    </w:p>
    <w:sectPr>
      <w:pgSz w:w="11906" w:h="16838"/>
      <w:pgMar w:top="1213" w:right="1800" w:bottom="1213"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modern"/>
    <w:pitch w:val="default"/>
    <w:sig w:usb0="800002BF" w:usb1="38CF7CFA" w:usb2="00000016" w:usb3="00000000" w:csb0="00040001" w:csb1="00000000"/>
  </w:font>
  <w:font w:name="华文楷体">
    <w:altName w:val="楷体_GB2312"/>
    <w:panose1 w:val="02010600040101010101"/>
    <w:charset w:val="86"/>
    <w:family w:val="auto"/>
    <w:pitch w:val="default"/>
    <w:sig w:usb0="00000000" w:usb1="0000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Wingdings 2">
    <w:altName w:val="Wingdings"/>
    <w:panose1 w:val="050201020105070707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TBjZDc3ZTdiNGU5MjhjMjMzNGQ5MjUyOTQ1N2JmOTIifQ=="/>
  </w:docVars>
  <w:rsids>
    <w:rsidRoot w:val="00063738"/>
    <w:rsid w:val="00001BEA"/>
    <w:rsid w:val="000226D2"/>
    <w:rsid w:val="00023595"/>
    <w:rsid w:val="00023D5F"/>
    <w:rsid w:val="000267FF"/>
    <w:rsid w:val="0002783C"/>
    <w:rsid w:val="00032ECA"/>
    <w:rsid w:val="000334A9"/>
    <w:rsid w:val="00033D58"/>
    <w:rsid w:val="0003490C"/>
    <w:rsid w:val="00034FA2"/>
    <w:rsid w:val="000350C9"/>
    <w:rsid w:val="00036EBA"/>
    <w:rsid w:val="000402BD"/>
    <w:rsid w:val="00044E15"/>
    <w:rsid w:val="00045DD0"/>
    <w:rsid w:val="00050F6B"/>
    <w:rsid w:val="00051152"/>
    <w:rsid w:val="00051734"/>
    <w:rsid w:val="00060712"/>
    <w:rsid w:val="00063738"/>
    <w:rsid w:val="00067E6A"/>
    <w:rsid w:val="000755D3"/>
    <w:rsid w:val="00076F61"/>
    <w:rsid w:val="0008555A"/>
    <w:rsid w:val="00090077"/>
    <w:rsid w:val="000904F9"/>
    <w:rsid w:val="000919D6"/>
    <w:rsid w:val="000928ED"/>
    <w:rsid w:val="00092982"/>
    <w:rsid w:val="000A4A25"/>
    <w:rsid w:val="000A4BF2"/>
    <w:rsid w:val="000A60AB"/>
    <w:rsid w:val="000A6129"/>
    <w:rsid w:val="000B03E8"/>
    <w:rsid w:val="000C1592"/>
    <w:rsid w:val="000C2D5D"/>
    <w:rsid w:val="000C75BA"/>
    <w:rsid w:val="000D0390"/>
    <w:rsid w:val="000D1502"/>
    <w:rsid w:val="000D70B7"/>
    <w:rsid w:val="000E04A0"/>
    <w:rsid w:val="000E164C"/>
    <w:rsid w:val="000E325E"/>
    <w:rsid w:val="000E55D6"/>
    <w:rsid w:val="000F66FE"/>
    <w:rsid w:val="000F70B5"/>
    <w:rsid w:val="00100C04"/>
    <w:rsid w:val="00100C3B"/>
    <w:rsid w:val="0010374E"/>
    <w:rsid w:val="001114AB"/>
    <w:rsid w:val="00111C33"/>
    <w:rsid w:val="001171D8"/>
    <w:rsid w:val="001429A8"/>
    <w:rsid w:val="00147887"/>
    <w:rsid w:val="001511BB"/>
    <w:rsid w:val="00151C80"/>
    <w:rsid w:val="0015269B"/>
    <w:rsid w:val="00153856"/>
    <w:rsid w:val="00154642"/>
    <w:rsid w:val="0015562B"/>
    <w:rsid w:val="001567AD"/>
    <w:rsid w:val="0016093C"/>
    <w:rsid w:val="00160FDB"/>
    <w:rsid w:val="00161CFA"/>
    <w:rsid w:val="001667B0"/>
    <w:rsid w:val="00171220"/>
    <w:rsid w:val="00175636"/>
    <w:rsid w:val="00180B1C"/>
    <w:rsid w:val="00182E0E"/>
    <w:rsid w:val="0018342A"/>
    <w:rsid w:val="00184A87"/>
    <w:rsid w:val="00186D37"/>
    <w:rsid w:val="00186DE1"/>
    <w:rsid w:val="001958B0"/>
    <w:rsid w:val="00196B36"/>
    <w:rsid w:val="00197330"/>
    <w:rsid w:val="001A1BBE"/>
    <w:rsid w:val="001A1F3B"/>
    <w:rsid w:val="001A2657"/>
    <w:rsid w:val="001A58FA"/>
    <w:rsid w:val="001A73B1"/>
    <w:rsid w:val="001B7EC7"/>
    <w:rsid w:val="001C0AFF"/>
    <w:rsid w:val="001C7E3C"/>
    <w:rsid w:val="001D232F"/>
    <w:rsid w:val="001D3BC3"/>
    <w:rsid w:val="001D41D1"/>
    <w:rsid w:val="001D7563"/>
    <w:rsid w:val="001E0EDC"/>
    <w:rsid w:val="001F0423"/>
    <w:rsid w:val="001F12C9"/>
    <w:rsid w:val="001F18CF"/>
    <w:rsid w:val="00200D24"/>
    <w:rsid w:val="00201AB1"/>
    <w:rsid w:val="0020208E"/>
    <w:rsid w:val="00204EC2"/>
    <w:rsid w:val="002070E1"/>
    <w:rsid w:val="0022013B"/>
    <w:rsid w:val="0022270E"/>
    <w:rsid w:val="00223872"/>
    <w:rsid w:val="00230B49"/>
    <w:rsid w:val="0023126F"/>
    <w:rsid w:val="002331E7"/>
    <w:rsid w:val="00240276"/>
    <w:rsid w:val="0025069F"/>
    <w:rsid w:val="0025323A"/>
    <w:rsid w:val="002620F0"/>
    <w:rsid w:val="00264C54"/>
    <w:rsid w:val="0026772C"/>
    <w:rsid w:val="00285DAA"/>
    <w:rsid w:val="0028661C"/>
    <w:rsid w:val="00290BEB"/>
    <w:rsid w:val="00290F13"/>
    <w:rsid w:val="00291742"/>
    <w:rsid w:val="00293B64"/>
    <w:rsid w:val="00297B13"/>
    <w:rsid w:val="002A1FCC"/>
    <w:rsid w:val="002A6617"/>
    <w:rsid w:val="002A7417"/>
    <w:rsid w:val="002B1FE8"/>
    <w:rsid w:val="002B2FE8"/>
    <w:rsid w:val="002B708D"/>
    <w:rsid w:val="002B7779"/>
    <w:rsid w:val="002B7FF6"/>
    <w:rsid w:val="002D5057"/>
    <w:rsid w:val="002D550F"/>
    <w:rsid w:val="002D5F8C"/>
    <w:rsid w:val="002D7983"/>
    <w:rsid w:val="002E02F4"/>
    <w:rsid w:val="002E24FB"/>
    <w:rsid w:val="002F1AF7"/>
    <w:rsid w:val="002F1EBD"/>
    <w:rsid w:val="002F258D"/>
    <w:rsid w:val="0030148C"/>
    <w:rsid w:val="003102CB"/>
    <w:rsid w:val="003112C9"/>
    <w:rsid w:val="0031179F"/>
    <w:rsid w:val="0031593D"/>
    <w:rsid w:val="00315E2A"/>
    <w:rsid w:val="003164D8"/>
    <w:rsid w:val="00316A09"/>
    <w:rsid w:val="003258AC"/>
    <w:rsid w:val="0032637E"/>
    <w:rsid w:val="00335813"/>
    <w:rsid w:val="00335A12"/>
    <w:rsid w:val="00335BA0"/>
    <w:rsid w:val="003448D0"/>
    <w:rsid w:val="00351A07"/>
    <w:rsid w:val="00351B4F"/>
    <w:rsid w:val="00356BD4"/>
    <w:rsid w:val="003578DA"/>
    <w:rsid w:val="00357C07"/>
    <w:rsid w:val="00363ABD"/>
    <w:rsid w:val="003654D1"/>
    <w:rsid w:val="003746DD"/>
    <w:rsid w:val="00375299"/>
    <w:rsid w:val="00383EDC"/>
    <w:rsid w:val="003847EE"/>
    <w:rsid w:val="003860F9"/>
    <w:rsid w:val="0038649E"/>
    <w:rsid w:val="003869F5"/>
    <w:rsid w:val="00391F41"/>
    <w:rsid w:val="003943FE"/>
    <w:rsid w:val="00394FC4"/>
    <w:rsid w:val="003976D5"/>
    <w:rsid w:val="003A06E6"/>
    <w:rsid w:val="003A3C43"/>
    <w:rsid w:val="003A51E6"/>
    <w:rsid w:val="003A64FE"/>
    <w:rsid w:val="003A7B20"/>
    <w:rsid w:val="003B21B7"/>
    <w:rsid w:val="003C14BB"/>
    <w:rsid w:val="003C3020"/>
    <w:rsid w:val="003C30C3"/>
    <w:rsid w:val="003D0161"/>
    <w:rsid w:val="003D0A65"/>
    <w:rsid w:val="003D3682"/>
    <w:rsid w:val="003D3F65"/>
    <w:rsid w:val="003F045B"/>
    <w:rsid w:val="003F098A"/>
    <w:rsid w:val="003F3804"/>
    <w:rsid w:val="003F59C6"/>
    <w:rsid w:val="003F637B"/>
    <w:rsid w:val="003F77F2"/>
    <w:rsid w:val="00400690"/>
    <w:rsid w:val="00403450"/>
    <w:rsid w:val="0040503F"/>
    <w:rsid w:val="00406AC0"/>
    <w:rsid w:val="00406C66"/>
    <w:rsid w:val="00410786"/>
    <w:rsid w:val="0041670E"/>
    <w:rsid w:val="004172D5"/>
    <w:rsid w:val="004271D6"/>
    <w:rsid w:val="004315F1"/>
    <w:rsid w:val="00436EA5"/>
    <w:rsid w:val="00437574"/>
    <w:rsid w:val="0044280E"/>
    <w:rsid w:val="00443CD7"/>
    <w:rsid w:val="00447889"/>
    <w:rsid w:val="00453DAE"/>
    <w:rsid w:val="00455574"/>
    <w:rsid w:val="00457F87"/>
    <w:rsid w:val="004601C8"/>
    <w:rsid w:val="00472AD5"/>
    <w:rsid w:val="00480D93"/>
    <w:rsid w:val="00482BFE"/>
    <w:rsid w:val="004861A9"/>
    <w:rsid w:val="00494A35"/>
    <w:rsid w:val="004963A4"/>
    <w:rsid w:val="00496B9B"/>
    <w:rsid w:val="00497DF2"/>
    <w:rsid w:val="004A22D9"/>
    <w:rsid w:val="004A6D59"/>
    <w:rsid w:val="004A7913"/>
    <w:rsid w:val="004B3E2B"/>
    <w:rsid w:val="004B6B6A"/>
    <w:rsid w:val="004B7B26"/>
    <w:rsid w:val="004D40B0"/>
    <w:rsid w:val="004D6465"/>
    <w:rsid w:val="004D715A"/>
    <w:rsid w:val="004D7C31"/>
    <w:rsid w:val="004E1BAC"/>
    <w:rsid w:val="004E423C"/>
    <w:rsid w:val="004E5E7E"/>
    <w:rsid w:val="004F416C"/>
    <w:rsid w:val="004F5253"/>
    <w:rsid w:val="004F675A"/>
    <w:rsid w:val="00501382"/>
    <w:rsid w:val="005056B3"/>
    <w:rsid w:val="00520D71"/>
    <w:rsid w:val="00521C89"/>
    <w:rsid w:val="00525D03"/>
    <w:rsid w:val="005275A3"/>
    <w:rsid w:val="00533C2F"/>
    <w:rsid w:val="00535167"/>
    <w:rsid w:val="00552E68"/>
    <w:rsid w:val="0055319C"/>
    <w:rsid w:val="0055546E"/>
    <w:rsid w:val="005567D5"/>
    <w:rsid w:val="005706E1"/>
    <w:rsid w:val="00571326"/>
    <w:rsid w:val="00571753"/>
    <w:rsid w:val="0057201C"/>
    <w:rsid w:val="005723C1"/>
    <w:rsid w:val="00575CA9"/>
    <w:rsid w:val="00577750"/>
    <w:rsid w:val="0058102F"/>
    <w:rsid w:val="00583BBF"/>
    <w:rsid w:val="005A03F2"/>
    <w:rsid w:val="005A0879"/>
    <w:rsid w:val="005A1C2E"/>
    <w:rsid w:val="005A7691"/>
    <w:rsid w:val="005B25B6"/>
    <w:rsid w:val="005B4F21"/>
    <w:rsid w:val="005C06EE"/>
    <w:rsid w:val="005C1853"/>
    <w:rsid w:val="005C2E06"/>
    <w:rsid w:val="005C4B48"/>
    <w:rsid w:val="005D6F4C"/>
    <w:rsid w:val="005E5562"/>
    <w:rsid w:val="0060092D"/>
    <w:rsid w:val="0060137E"/>
    <w:rsid w:val="00601512"/>
    <w:rsid w:val="0060328D"/>
    <w:rsid w:val="00611DAF"/>
    <w:rsid w:val="00612C08"/>
    <w:rsid w:val="00613E8B"/>
    <w:rsid w:val="00620EA8"/>
    <w:rsid w:val="006218B9"/>
    <w:rsid w:val="00623086"/>
    <w:rsid w:val="00624BD8"/>
    <w:rsid w:val="00625223"/>
    <w:rsid w:val="00630EE7"/>
    <w:rsid w:val="00634064"/>
    <w:rsid w:val="006374B9"/>
    <w:rsid w:val="00637E19"/>
    <w:rsid w:val="00651A5D"/>
    <w:rsid w:val="006520B5"/>
    <w:rsid w:val="006553AD"/>
    <w:rsid w:val="00656CD5"/>
    <w:rsid w:val="00657A68"/>
    <w:rsid w:val="006647A0"/>
    <w:rsid w:val="00667DD6"/>
    <w:rsid w:val="0067213B"/>
    <w:rsid w:val="00673D2D"/>
    <w:rsid w:val="00674168"/>
    <w:rsid w:val="00675FD7"/>
    <w:rsid w:val="0067683D"/>
    <w:rsid w:val="00680441"/>
    <w:rsid w:val="00680FD3"/>
    <w:rsid w:val="0069058E"/>
    <w:rsid w:val="006945E3"/>
    <w:rsid w:val="006979D1"/>
    <w:rsid w:val="006A2A86"/>
    <w:rsid w:val="006A3FAC"/>
    <w:rsid w:val="006A54DD"/>
    <w:rsid w:val="006B5617"/>
    <w:rsid w:val="006D3710"/>
    <w:rsid w:val="006D3B96"/>
    <w:rsid w:val="006D5F32"/>
    <w:rsid w:val="006E152B"/>
    <w:rsid w:val="006E25E2"/>
    <w:rsid w:val="006E27CE"/>
    <w:rsid w:val="006E3B6D"/>
    <w:rsid w:val="006E5C3E"/>
    <w:rsid w:val="006E614F"/>
    <w:rsid w:val="006E6ACD"/>
    <w:rsid w:val="006F1D3D"/>
    <w:rsid w:val="007002EA"/>
    <w:rsid w:val="007009D2"/>
    <w:rsid w:val="00704247"/>
    <w:rsid w:val="0071433E"/>
    <w:rsid w:val="007154E0"/>
    <w:rsid w:val="007169BD"/>
    <w:rsid w:val="00727927"/>
    <w:rsid w:val="007354EC"/>
    <w:rsid w:val="00740598"/>
    <w:rsid w:val="00744331"/>
    <w:rsid w:val="00745E33"/>
    <w:rsid w:val="00746926"/>
    <w:rsid w:val="00746FC1"/>
    <w:rsid w:val="007530A5"/>
    <w:rsid w:val="007547EF"/>
    <w:rsid w:val="00756BF6"/>
    <w:rsid w:val="00762D46"/>
    <w:rsid w:val="00765657"/>
    <w:rsid w:val="00775B98"/>
    <w:rsid w:val="00777EF3"/>
    <w:rsid w:val="00782431"/>
    <w:rsid w:val="0078597B"/>
    <w:rsid w:val="00787199"/>
    <w:rsid w:val="00791D46"/>
    <w:rsid w:val="00794983"/>
    <w:rsid w:val="00796C68"/>
    <w:rsid w:val="007A189E"/>
    <w:rsid w:val="007A3D59"/>
    <w:rsid w:val="007A7A90"/>
    <w:rsid w:val="007B33E4"/>
    <w:rsid w:val="007B3420"/>
    <w:rsid w:val="007B6C84"/>
    <w:rsid w:val="007C4CDF"/>
    <w:rsid w:val="007D2E89"/>
    <w:rsid w:val="007D31F3"/>
    <w:rsid w:val="007D345F"/>
    <w:rsid w:val="007D4FF8"/>
    <w:rsid w:val="007E0A84"/>
    <w:rsid w:val="007E2AE8"/>
    <w:rsid w:val="007F7DB9"/>
    <w:rsid w:val="00800ADF"/>
    <w:rsid w:val="00800EED"/>
    <w:rsid w:val="008040AA"/>
    <w:rsid w:val="008106DB"/>
    <w:rsid w:val="008148F8"/>
    <w:rsid w:val="00815F48"/>
    <w:rsid w:val="008224E7"/>
    <w:rsid w:val="008225FB"/>
    <w:rsid w:val="008249C0"/>
    <w:rsid w:val="00825AE0"/>
    <w:rsid w:val="008264C1"/>
    <w:rsid w:val="00827317"/>
    <w:rsid w:val="00827B16"/>
    <w:rsid w:val="00831121"/>
    <w:rsid w:val="00832D15"/>
    <w:rsid w:val="00834854"/>
    <w:rsid w:val="00837244"/>
    <w:rsid w:val="00843975"/>
    <w:rsid w:val="0085443A"/>
    <w:rsid w:val="008571FE"/>
    <w:rsid w:val="008678BC"/>
    <w:rsid w:val="00867BB1"/>
    <w:rsid w:val="00870AFF"/>
    <w:rsid w:val="00874AA5"/>
    <w:rsid w:val="008770DE"/>
    <w:rsid w:val="00877558"/>
    <w:rsid w:val="0088283B"/>
    <w:rsid w:val="008843AA"/>
    <w:rsid w:val="00890AE4"/>
    <w:rsid w:val="008A0967"/>
    <w:rsid w:val="008A1CDE"/>
    <w:rsid w:val="008A1E23"/>
    <w:rsid w:val="008A1ECF"/>
    <w:rsid w:val="008A3B89"/>
    <w:rsid w:val="008A7834"/>
    <w:rsid w:val="008B13EA"/>
    <w:rsid w:val="008B41AB"/>
    <w:rsid w:val="008B4DCC"/>
    <w:rsid w:val="008B7B33"/>
    <w:rsid w:val="008C05E7"/>
    <w:rsid w:val="008C0728"/>
    <w:rsid w:val="008C201D"/>
    <w:rsid w:val="008C41CE"/>
    <w:rsid w:val="008C5272"/>
    <w:rsid w:val="008E0D2E"/>
    <w:rsid w:val="008E166B"/>
    <w:rsid w:val="008E233E"/>
    <w:rsid w:val="008E344A"/>
    <w:rsid w:val="008E471E"/>
    <w:rsid w:val="008F11A2"/>
    <w:rsid w:val="008F1B88"/>
    <w:rsid w:val="008F3ABC"/>
    <w:rsid w:val="008F6934"/>
    <w:rsid w:val="008F7F04"/>
    <w:rsid w:val="00904E44"/>
    <w:rsid w:val="00905F6B"/>
    <w:rsid w:val="0091334D"/>
    <w:rsid w:val="009145CE"/>
    <w:rsid w:val="00920801"/>
    <w:rsid w:val="00922F8E"/>
    <w:rsid w:val="009263BA"/>
    <w:rsid w:val="00926911"/>
    <w:rsid w:val="009311A5"/>
    <w:rsid w:val="00931200"/>
    <w:rsid w:val="00936ADC"/>
    <w:rsid w:val="00937F46"/>
    <w:rsid w:val="009441C3"/>
    <w:rsid w:val="00944817"/>
    <w:rsid w:val="00946094"/>
    <w:rsid w:val="0095795C"/>
    <w:rsid w:val="0096045E"/>
    <w:rsid w:val="009628F5"/>
    <w:rsid w:val="00962F13"/>
    <w:rsid w:val="00964135"/>
    <w:rsid w:val="0096491C"/>
    <w:rsid w:val="009654BD"/>
    <w:rsid w:val="00967131"/>
    <w:rsid w:val="009707DC"/>
    <w:rsid w:val="0097114C"/>
    <w:rsid w:val="00974D45"/>
    <w:rsid w:val="0097768C"/>
    <w:rsid w:val="009903B5"/>
    <w:rsid w:val="0099043A"/>
    <w:rsid w:val="00995D3F"/>
    <w:rsid w:val="009979D4"/>
    <w:rsid w:val="009A082C"/>
    <w:rsid w:val="009A1DCD"/>
    <w:rsid w:val="009A258F"/>
    <w:rsid w:val="009A3069"/>
    <w:rsid w:val="009A7133"/>
    <w:rsid w:val="009B31A2"/>
    <w:rsid w:val="009B6094"/>
    <w:rsid w:val="009D176F"/>
    <w:rsid w:val="009E1FD9"/>
    <w:rsid w:val="009E3F75"/>
    <w:rsid w:val="009E50D9"/>
    <w:rsid w:val="009F0EEB"/>
    <w:rsid w:val="009F2234"/>
    <w:rsid w:val="009F34E1"/>
    <w:rsid w:val="009F60D2"/>
    <w:rsid w:val="00A07B80"/>
    <w:rsid w:val="00A12EFA"/>
    <w:rsid w:val="00A14AB5"/>
    <w:rsid w:val="00A208F5"/>
    <w:rsid w:val="00A27BEF"/>
    <w:rsid w:val="00A31AC9"/>
    <w:rsid w:val="00A34135"/>
    <w:rsid w:val="00A35A72"/>
    <w:rsid w:val="00A37D1F"/>
    <w:rsid w:val="00A40748"/>
    <w:rsid w:val="00A40F48"/>
    <w:rsid w:val="00A411BC"/>
    <w:rsid w:val="00A44F32"/>
    <w:rsid w:val="00A55DAB"/>
    <w:rsid w:val="00A57420"/>
    <w:rsid w:val="00A63F61"/>
    <w:rsid w:val="00A67826"/>
    <w:rsid w:val="00A71C8B"/>
    <w:rsid w:val="00A73C3A"/>
    <w:rsid w:val="00A80686"/>
    <w:rsid w:val="00A81700"/>
    <w:rsid w:val="00A83241"/>
    <w:rsid w:val="00A8608C"/>
    <w:rsid w:val="00A9275A"/>
    <w:rsid w:val="00A92B68"/>
    <w:rsid w:val="00A954CF"/>
    <w:rsid w:val="00A968FC"/>
    <w:rsid w:val="00AA0A24"/>
    <w:rsid w:val="00AA2F34"/>
    <w:rsid w:val="00AB62AB"/>
    <w:rsid w:val="00AC2036"/>
    <w:rsid w:val="00AC3FA0"/>
    <w:rsid w:val="00AC4856"/>
    <w:rsid w:val="00AC5570"/>
    <w:rsid w:val="00AC6226"/>
    <w:rsid w:val="00AD011A"/>
    <w:rsid w:val="00AD22FC"/>
    <w:rsid w:val="00AD6900"/>
    <w:rsid w:val="00AD726F"/>
    <w:rsid w:val="00AD7928"/>
    <w:rsid w:val="00AE0BE2"/>
    <w:rsid w:val="00AE2B72"/>
    <w:rsid w:val="00AE3315"/>
    <w:rsid w:val="00AE466D"/>
    <w:rsid w:val="00AF1871"/>
    <w:rsid w:val="00AF41ED"/>
    <w:rsid w:val="00B01CE8"/>
    <w:rsid w:val="00B01DF1"/>
    <w:rsid w:val="00B02E61"/>
    <w:rsid w:val="00B106EF"/>
    <w:rsid w:val="00B15EEA"/>
    <w:rsid w:val="00B23D40"/>
    <w:rsid w:val="00B25E02"/>
    <w:rsid w:val="00B26B1E"/>
    <w:rsid w:val="00B3155A"/>
    <w:rsid w:val="00B34EEE"/>
    <w:rsid w:val="00B43CCB"/>
    <w:rsid w:val="00B44BEC"/>
    <w:rsid w:val="00B47737"/>
    <w:rsid w:val="00B5077C"/>
    <w:rsid w:val="00B507C3"/>
    <w:rsid w:val="00B5240C"/>
    <w:rsid w:val="00B6244C"/>
    <w:rsid w:val="00B625D8"/>
    <w:rsid w:val="00B63064"/>
    <w:rsid w:val="00B6551B"/>
    <w:rsid w:val="00B6656F"/>
    <w:rsid w:val="00B70954"/>
    <w:rsid w:val="00B7111A"/>
    <w:rsid w:val="00B90AC2"/>
    <w:rsid w:val="00B936E3"/>
    <w:rsid w:val="00B95389"/>
    <w:rsid w:val="00B961DF"/>
    <w:rsid w:val="00B97926"/>
    <w:rsid w:val="00BA0E35"/>
    <w:rsid w:val="00BA2B8E"/>
    <w:rsid w:val="00BA2D49"/>
    <w:rsid w:val="00BA3236"/>
    <w:rsid w:val="00BA6E9A"/>
    <w:rsid w:val="00BB0776"/>
    <w:rsid w:val="00BB1C24"/>
    <w:rsid w:val="00BB62F0"/>
    <w:rsid w:val="00BC21A7"/>
    <w:rsid w:val="00BC3A25"/>
    <w:rsid w:val="00BD11D6"/>
    <w:rsid w:val="00BD1275"/>
    <w:rsid w:val="00BD5A8B"/>
    <w:rsid w:val="00BE10AF"/>
    <w:rsid w:val="00BE2BFD"/>
    <w:rsid w:val="00BE42B5"/>
    <w:rsid w:val="00BE799F"/>
    <w:rsid w:val="00BF2AF2"/>
    <w:rsid w:val="00C015E2"/>
    <w:rsid w:val="00C13D48"/>
    <w:rsid w:val="00C14D3E"/>
    <w:rsid w:val="00C20701"/>
    <w:rsid w:val="00C20B00"/>
    <w:rsid w:val="00C20EE5"/>
    <w:rsid w:val="00C230FB"/>
    <w:rsid w:val="00C24F40"/>
    <w:rsid w:val="00C26B45"/>
    <w:rsid w:val="00C307BE"/>
    <w:rsid w:val="00C31EA2"/>
    <w:rsid w:val="00C320B3"/>
    <w:rsid w:val="00C404A6"/>
    <w:rsid w:val="00C552A3"/>
    <w:rsid w:val="00C676A6"/>
    <w:rsid w:val="00C70D6F"/>
    <w:rsid w:val="00C7209A"/>
    <w:rsid w:val="00C8129E"/>
    <w:rsid w:val="00C83660"/>
    <w:rsid w:val="00C83D45"/>
    <w:rsid w:val="00C90456"/>
    <w:rsid w:val="00C958CB"/>
    <w:rsid w:val="00CA2632"/>
    <w:rsid w:val="00CA6DA9"/>
    <w:rsid w:val="00CA768F"/>
    <w:rsid w:val="00CB4594"/>
    <w:rsid w:val="00CB6F95"/>
    <w:rsid w:val="00CB7ADF"/>
    <w:rsid w:val="00CC4A11"/>
    <w:rsid w:val="00CC4D47"/>
    <w:rsid w:val="00CD17D2"/>
    <w:rsid w:val="00CD4F59"/>
    <w:rsid w:val="00CE0EA0"/>
    <w:rsid w:val="00CE1107"/>
    <w:rsid w:val="00CE3844"/>
    <w:rsid w:val="00CE4ECE"/>
    <w:rsid w:val="00CF2B1F"/>
    <w:rsid w:val="00CF2BFB"/>
    <w:rsid w:val="00CF3B12"/>
    <w:rsid w:val="00CF52CA"/>
    <w:rsid w:val="00CF5B0E"/>
    <w:rsid w:val="00CF79B6"/>
    <w:rsid w:val="00D02CFB"/>
    <w:rsid w:val="00D03354"/>
    <w:rsid w:val="00D06B23"/>
    <w:rsid w:val="00D06B9E"/>
    <w:rsid w:val="00D11F06"/>
    <w:rsid w:val="00D127A9"/>
    <w:rsid w:val="00D16E3C"/>
    <w:rsid w:val="00D172AC"/>
    <w:rsid w:val="00D216E4"/>
    <w:rsid w:val="00D22DD3"/>
    <w:rsid w:val="00D30BFB"/>
    <w:rsid w:val="00D334E3"/>
    <w:rsid w:val="00D33C67"/>
    <w:rsid w:val="00D35730"/>
    <w:rsid w:val="00D35D8B"/>
    <w:rsid w:val="00D42D30"/>
    <w:rsid w:val="00D452E1"/>
    <w:rsid w:val="00D46FF9"/>
    <w:rsid w:val="00D5031F"/>
    <w:rsid w:val="00D5555A"/>
    <w:rsid w:val="00D60305"/>
    <w:rsid w:val="00D60A0B"/>
    <w:rsid w:val="00D61CF1"/>
    <w:rsid w:val="00D638D5"/>
    <w:rsid w:val="00D64DC9"/>
    <w:rsid w:val="00D65B18"/>
    <w:rsid w:val="00D73145"/>
    <w:rsid w:val="00D83FA1"/>
    <w:rsid w:val="00D87641"/>
    <w:rsid w:val="00D90341"/>
    <w:rsid w:val="00D934D0"/>
    <w:rsid w:val="00D961DB"/>
    <w:rsid w:val="00D97575"/>
    <w:rsid w:val="00DA37A0"/>
    <w:rsid w:val="00DA4019"/>
    <w:rsid w:val="00DA5A0E"/>
    <w:rsid w:val="00DB3774"/>
    <w:rsid w:val="00DB4E38"/>
    <w:rsid w:val="00DB557A"/>
    <w:rsid w:val="00DC052A"/>
    <w:rsid w:val="00DC5443"/>
    <w:rsid w:val="00DC5DCA"/>
    <w:rsid w:val="00DC6F20"/>
    <w:rsid w:val="00DD094A"/>
    <w:rsid w:val="00DD33E9"/>
    <w:rsid w:val="00DD51ED"/>
    <w:rsid w:val="00DE2F0B"/>
    <w:rsid w:val="00DE3579"/>
    <w:rsid w:val="00DE4D08"/>
    <w:rsid w:val="00DE6DE5"/>
    <w:rsid w:val="00DF0C0E"/>
    <w:rsid w:val="00DF1965"/>
    <w:rsid w:val="00DF2F3D"/>
    <w:rsid w:val="00E03632"/>
    <w:rsid w:val="00E04A15"/>
    <w:rsid w:val="00E1101D"/>
    <w:rsid w:val="00E215E0"/>
    <w:rsid w:val="00E2295A"/>
    <w:rsid w:val="00E23012"/>
    <w:rsid w:val="00E2438A"/>
    <w:rsid w:val="00E31075"/>
    <w:rsid w:val="00E36A71"/>
    <w:rsid w:val="00E377B5"/>
    <w:rsid w:val="00E4181F"/>
    <w:rsid w:val="00E474B1"/>
    <w:rsid w:val="00E55C03"/>
    <w:rsid w:val="00E62216"/>
    <w:rsid w:val="00E70C85"/>
    <w:rsid w:val="00E720BF"/>
    <w:rsid w:val="00E75D5D"/>
    <w:rsid w:val="00E76E65"/>
    <w:rsid w:val="00E816BE"/>
    <w:rsid w:val="00E836C8"/>
    <w:rsid w:val="00E84E32"/>
    <w:rsid w:val="00E85BE8"/>
    <w:rsid w:val="00E86EA8"/>
    <w:rsid w:val="00E879D1"/>
    <w:rsid w:val="00E97831"/>
    <w:rsid w:val="00EA4D08"/>
    <w:rsid w:val="00EB01BF"/>
    <w:rsid w:val="00EB66EC"/>
    <w:rsid w:val="00EC118E"/>
    <w:rsid w:val="00EC2000"/>
    <w:rsid w:val="00EC576E"/>
    <w:rsid w:val="00EC61BA"/>
    <w:rsid w:val="00EC7427"/>
    <w:rsid w:val="00ED1B5E"/>
    <w:rsid w:val="00ED1D90"/>
    <w:rsid w:val="00ED3B92"/>
    <w:rsid w:val="00ED40AC"/>
    <w:rsid w:val="00ED7F65"/>
    <w:rsid w:val="00EF2D54"/>
    <w:rsid w:val="00EF3E32"/>
    <w:rsid w:val="00F02D85"/>
    <w:rsid w:val="00F1067A"/>
    <w:rsid w:val="00F24941"/>
    <w:rsid w:val="00F25DCC"/>
    <w:rsid w:val="00F25FAB"/>
    <w:rsid w:val="00F27A68"/>
    <w:rsid w:val="00F30F01"/>
    <w:rsid w:val="00F322F1"/>
    <w:rsid w:val="00F34FB6"/>
    <w:rsid w:val="00F42C85"/>
    <w:rsid w:val="00F43E0E"/>
    <w:rsid w:val="00F4524B"/>
    <w:rsid w:val="00F53493"/>
    <w:rsid w:val="00F55257"/>
    <w:rsid w:val="00F55ADB"/>
    <w:rsid w:val="00F60009"/>
    <w:rsid w:val="00F679BC"/>
    <w:rsid w:val="00F7504C"/>
    <w:rsid w:val="00F81E99"/>
    <w:rsid w:val="00F85B9C"/>
    <w:rsid w:val="00F85C18"/>
    <w:rsid w:val="00F93CE5"/>
    <w:rsid w:val="00FA229B"/>
    <w:rsid w:val="00FA6308"/>
    <w:rsid w:val="00FB10CF"/>
    <w:rsid w:val="00FC7C4A"/>
    <w:rsid w:val="00FD06B4"/>
    <w:rsid w:val="00FD2C58"/>
    <w:rsid w:val="00FD3725"/>
    <w:rsid w:val="00FD72DC"/>
    <w:rsid w:val="00FE4AB7"/>
    <w:rsid w:val="00FF08DE"/>
    <w:rsid w:val="00FF0E2C"/>
    <w:rsid w:val="00FF5298"/>
    <w:rsid w:val="00FF5DA9"/>
    <w:rsid w:val="00FF6B48"/>
    <w:rsid w:val="01304132"/>
    <w:rsid w:val="052B4210"/>
    <w:rsid w:val="06832BDE"/>
    <w:rsid w:val="08B766C2"/>
    <w:rsid w:val="0FD651A1"/>
    <w:rsid w:val="0FEE5277"/>
    <w:rsid w:val="10C7253B"/>
    <w:rsid w:val="11C52D78"/>
    <w:rsid w:val="13C22F3B"/>
    <w:rsid w:val="1CAF2E27"/>
    <w:rsid w:val="1EE75081"/>
    <w:rsid w:val="1EF36406"/>
    <w:rsid w:val="24DE241B"/>
    <w:rsid w:val="265C0C00"/>
    <w:rsid w:val="2AB16B04"/>
    <w:rsid w:val="2C86699C"/>
    <w:rsid w:val="3502011E"/>
    <w:rsid w:val="35FC6CC0"/>
    <w:rsid w:val="37EE7F50"/>
    <w:rsid w:val="39816F7F"/>
    <w:rsid w:val="3DCD4A64"/>
    <w:rsid w:val="422113A4"/>
    <w:rsid w:val="444D3D5C"/>
    <w:rsid w:val="48B00A12"/>
    <w:rsid w:val="4BD121E2"/>
    <w:rsid w:val="4BD40692"/>
    <w:rsid w:val="4F96273F"/>
    <w:rsid w:val="52EB254B"/>
    <w:rsid w:val="5ECC20BE"/>
    <w:rsid w:val="5F05486F"/>
    <w:rsid w:val="5F573C1E"/>
    <w:rsid w:val="60950A6A"/>
    <w:rsid w:val="64753EDA"/>
    <w:rsid w:val="68DB5C4C"/>
    <w:rsid w:val="6ED030EE"/>
    <w:rsid w:val="6ED31B1F"/>
    <w:rsid w:val="70415FE3"/>
    <w:rsid w:val="71947460"/>
    <w:rsid w:val="72930B5D"/>
    <w:rsid w:val="7466207D"/>
    <w:rsid w:val="748E4D5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qFormat/>
    <w:uiPriority w:val="9"/>
    <w:pPr>
      <w:keepNext/>
      <w:keepLines/>
      <w:spacing w:before="280" w:after="290" w:line="376" w:lineRule="auto"/>
      <w:outlineLvl w:val="3"/>
    </w:pPr>
    <w:rPr>
      <w:rFonts w:ascii="Cambria" w:hAnsi="Cambria" w:eastAsia="宋体" w:cs="Times New Roman"/>
      <w:b/>
      <w:bCs/>
      <w:sz w:val="28"/>
      <w:szCs w:val="28"/>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uiPriority w:val="0"/>
    <w:pPr>
      <w:ind w:firstLine="722" w:firstLineChars="258"/>
    </w:pPr>
    <w:rPr>
      <w:rFonts w:ascii="华文中宋" w:hAnsi="华文中宋" w:eastAsia="华文中宋"/>
      <w:sz w:val="2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22"/>
    <w:rPr>
      <w:b/>
      <w:bCs/>
    </w:rPr>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paragraph" w:customStyle="1" w:styleId="12">
    <w:name w:val="列出段落1"/>
    <w:basedOn w:val="1"/>
    <w:qFormat/>
    <w:uiPriority w:val="34"/>
    <w:pPr>
      <w:ind w:firstLine="420" w:firstLineChars="200"/>
    </w:pPr>
    <w:rPr>
      <w:rFonts w:ascii="Calibri" w:hAnsi="Calibri" w:cs="Calibri"/>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1742</Words>
  <Characters>2489</Characters>
  <Lines>8</Lines>
  <Paragraphs>2</Paragraphs>
  <TotalTime>1</TotalTime>
  <ScaleCrop>false</ScaleCrop>
  <LinksUpToDate>false</LinksUpToDate>
  <CharactersWithSpaces>2523</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2020-03-17T05:45:00Z</dcterms:created>
  <dc:creator>马文斌</dc:creator>
  <cp:lastModifiedBy>许涛</cp:lastModifiedBy>
  <cp:lastPrinted>2020-10-15T01:49:00Z</cp:lastPrinted>
  <dcterms:modified xsi:type="dcterms:W3CDTF">2023-01-04T03:07:05Z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CCF1CD67C95843F7994A0E9DAF8FF0D4</vt:lpwstr>
  </property>
</Properties>
</file>