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jc w:val="center"/>
        <w:outlineLvl w:val="1"/>
        <w:rPr>
          <w:rFonts w:ascii="黑体" w:hAnsi="黑体" w:eastAsia="黑体"/>
          <w:b/>
          <w:color w:val="auto"/>
          <w:sz w:val="36"/>
          <w:highlight w:val="none"/>
        </w:rPr>
      </w:pPr>
      <w:r>
        <w:rPr>
          <w:rFonts w:hint="eastAsia" w:ascii="黑体" w:hAnsi="黑体" w:eastAsia="黑体"/>
          <w:b/>
          <w:color w:val="auto"/>
          <w:sz w:val="36"/>
          <w:highlight w:val="none"/>
        </w:rPr>
        <w:t>招 标 公 告</w:t>
      </w:r>
    </w:p>
    <w:p>
      <w:pPr>
        <w:pStyle w:val="5"/>
        <w:spacing w:line="400" w:lineRule="exact"/>
        <w:jc w:val="left"/>
        <w:rPr>
          <w:rFonts w:ascii="黑体" w:hAnsi="黑体" w:eastAsia="黑体"/>
          <w:b/>
          <w:color w:val="auto"/>
          <w:szCs w:val="21"/>
          <w:highlight w:val="none"/>
        </w:rPr>
      </w:pPr>
      <w:r>
        <w:rPr>
          <w:rFonts w:hint="eastAsia" w:ascii="黑体" w:hAnsi="黑体" w:eastAsia="黑体"/>
          <w:b/>
          <w:color w:val="auto"/>
          <w:szCs w:val="21"/>
          <w:highlight w:val="none"/>
        </w:rPr>
        <w:t>1.招标条件</w:t>
      </w:r>
    </w:p>
    <w:p>
      <w:pPr>
        <w:pStyle w:val="5"/>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黑体" w:hAnsi="黑体" w:eastAsia="黑体"/>
          <w:color w:val="auto"/>
          <w:szCs w:val="21"/>
          <w:highlight w:val="none"/>
        </w:rPr>
      </w:pPr>
      <w:r>
        <w:rPr>
          <w:rFonts w:hint="eastAsia" w:ascii="黑体" w:hAnsi="黑体" w:eastAsia="黑体" w:cs="Times New Roman"/>
          <w:color w:val="auto"/>
          <w:szCs w:val="21"/>
          <w:highlight w:val="none"/>
        </w:rPr>
        <w:t>昆明市三环闭合工程东三环A段施工项目橡胶支座采购招标人为云南建投物流有限公司，项目</w:t>
      </w:r>
      <w:r>
        <w:rPr>
          <w:rFonts w:hint="eastAsia" w:ascii="黑体" w:hAnsi="黑体" w:eastAsia="黑体" w:cs="Times New Roman"/>
          <w:color w:val="auto"/>
          <w:szCs w:val="21"/>
          <w:highlight w:val="none"/>
          <w:lang w:val="en-US" w:eastAsia="zh-CN"/>
        </w:rPr>
        <w:t>橡胶支座</w:t>
      </w:r>
      <w:r>
        <w:rPr>
          <w:rFonts w:hint="eastAsia" w:ascii="黑体" w:hAnsi="黑体" w:eastAsia="黑体"/>
          <w:color w:val="auto"/>
          <w:szCs w:val="21"/>
          <w:highlight w:val="none"/>
        </w:rPr>
        <w:t>采购已具备招标条件，现对</w:t>
      </w:r>
      <w:r>
        <w:rPr>
          <w:rFonts w:hint="eastAsia" w:ascii="黑体" w:hAnsi="黑体" w:eastAsia="黑体"/>
          <w:color w:val="auto"/>
          <w:szCs w:val="21"/>
          <w:highlight w:val="none"/>
          <w:lang w:val="en-US" w:eastAsia="zh-CN"/>
        </w:rPr>
        <w:t>该</w:t>
      </w:r>
      <w:r>
        <w:rPr>
          <w:rFonts w:hint="eastAsia" w:ascii="黑体" w:hAnsi="黑体" w:eastAsia="黑体"/>
          <w:color w:val="auto"/>
          <w:szCs w:val="21"/>
          <w:highlight w:val="none"/>
        </w:rPr>
        <w:t>项目</w:t>
      </w:r>
      <w:r>
        <w:rPr>
          <w:rFonts w:hint="eastAsia" w:ascii="黑体" w:hAnsi="黑体" w:eastAsia="黑体"/>
          <w:color w:val="auto"/>
          <w:szCs w:val="21"/>
          <w:highlight w:val="none"/>
          <w:lang w:val="en-US" w:eastAsia="zh-CN"/>
        </w:rPr>
        <w:t>橡胶支座</w:t>
      </w:r>
      <w:r>
        <w:rPr>
          <w:rFonts w:hint="eastAsia" w:ascii="黑体" w:hAnsi="黑体" w:eastAsia="黑体"/>
          <w:color w:val="auto"/>
          <w:szCs w:val="21"/>
          <w:highlight w:val="none"/>
        </w:rPr>
        <w:t>采购进行公开招标。</w:t>
      </w:r>
    </w:p>
    <w:p>
      <w:pPr>
        <w:pStyle w:val="5"/>
        <w:spacing w:line="400" w:lineRule="exact"/>
        <w:jc w:val="left"/>
        <w:rPr>
          <w:rFonts w:hint="eastAsia" w:ascii="黑体" w:hAnsi="黑体" w:eastAsia="黑体" w:cs="Times New Roman"/>
          <w:b/>
          <w:color w:val="auto"/>
          <w:szCs w:val="21"/>
          <w:highlight w:val="none"/>
        </w:rPr>
      </w:pPr>
      <w:r>
        <w:rPr>
          <w:rFonts w:hint="eastAsia" w:ascii="黑体" w:hAnsi="黑体" w:eastAsia="黑体" w:cs="Times New Roman"/>
          <w:b/>
          <w:color w:val="auto"/>
          <w:szCs w:val="21"/>
          <w:highlight w:val="none"/>
        </w:rPr>
        <w:t>2.项目概况与招标范围</w:t>
      </w:r>
    </w:p>
    <w:p>
      <w:pPr>
        <w:pStyle w:val="6"/>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2.1 项目简介：</w:t>
      </w:r>
    </w:p>
    <w:p>
      <w:pPr>
        <w:pStyle w:val="6"/>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昆明市三环闭合工程东三环A段起于罗衙立交，沿既有昌宏路进行改扩建，止于新建广昌立交，全长2.18公里，宽度65.5米，双向6车道，新建广昌立交1座及2座人行地道，建安费11.83亿元，工期2年。</w:t>
      </w:r>
    </w:p>
    <w:p>
      <w:pPr>
        <w:pStyle w:val="6"/>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2.2 招标内容：</w:t>
      </w:r>
    </w:p>
    <w:tbl>
      <w:tblPr>
        <w:tblStyle w:val="3"/>
        <w:tblW w:w="10250" w:type="dxa"/>
        <w:tblInd w:w="-93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6"/>
        <w:gridCol w:w="1914"/>
        <w:gridCol w:w="2836"/>
        <w:gridCol w:w="551"/>
        <w:gridCol w:w="788"/>
        <w:gridCol w:w="1695"/>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76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bookmarkStart w:id="13" w:name="_GoBack"/>
            <w:r>
              <w:rPr>
                <w:rFonts w:hint="eastAsia" w:ascii="黑体" w:hAnsi="黑体" w:eastAsia="黑体" w:cs="黑体"/>
                <w:i w:val="0"/>
                <w:iCs w:val="0"/>
                <w:color w:val="auto"/>
                <w:kern w:val="0"/>
                <w:sz w:val="21"/>
                <w:szCs w:val="21"/>
                <w:u w:val="none"/>
                <w:lang w:val="en-US" w:eastAsia="zh-CN" w:bidi="ar"/>
              </w:rPr>
              <w:t>序号</w:t>
            </w:r>
          </w:p>
        </w:tc>
        <w:tc>
          <w:tcPr>
            <w:tcW w:w="191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材料名称</w:t>
            </w:r>
          </w:p>
        </w:tc>
        <w:tc>
          <w:tcPr>
            <w:tcW w:w="283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规格型号</w:t>
            </w:r>
          </w:p>
        </w:tc>
        <w:tc>
          <w:tcPr>
            <w:tcW w:w="55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单位</w:t>
            </w:r>
          </w:p>
        </w:tc>
        <w:tc>
          <w:tcPr>
            <w:tcW w:w="78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数量</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执行标准</w:t>
            </w:r>
          </w:p>
        </w:tc>
        <w:tc>
          <w:tcPr>
            <w:tcW w:w="17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交货地点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76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91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283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55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78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JZQZ-12.5MN/1.25MN-DX-H100mm-e400mm-4.5s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2</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color w:val="auto"/>
                <w:sz w:val="24"/>
                <w:lang w:val="en-US" w:eastAsia="zh-CN"/>
              </w:rPr>
            </w:pPr>
            <w:r>
              <w:rPr>
                <w:rFonts w:hint="eastAsia" w:ascii="黑体" w:hAnsi="黑体" w:eastAsia="黑体" w:cs="黑体"/>
                <w:color w:val="auto"/>
                <w:sz w:val="21"/>
                <w:szCs w:val="21"/>
                <w:highlight w:val="none"/>
                <w:lang w:val="en-US" w:eastAsia="zh-CN" w:bidi="ar-SA"/>
              </w:rPr>
              <w:t>《公路桥梁摩擦摆式减隔复支座》 ( JT/T 852-2013 )、《公路桥梁铅芯隔扳橡胶支座》(JT/T 822-2011）、《公路桥梁板式橡胶支座》(JT/T 4-2019)</w:t>
            </w:r>
          </w:p>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p>
        </w:tc>
        <w:tc>
          <w:tcPr>
            <w:tcW w:w="17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Times New Roman"/>
                <w:color w:val="auto"/>
                <w:kern w:val="2"/>
                <w:sz w:val="21"/>
                <w:szCs w:val="21"/>
                <w:highlight w:val="none"/>
                <w:lang w:val="en-US" w:eastAsia="zh-CN" w:bidi="ar-SA"/>
              </w:rPr>
              <w:t>昆明市三环闭合工程东三环A段</w:t>
            </w:r>
            <w:r>
              <w:rPr>
                <w:rFonts w:hint="eastAsia" w:ascii="黑体" w:hAnsi="黑体" w:eastAsia="黑体" w:cs="黑体"/>
                <w:i w:val="0"/>
                <w:iCs w:val="0"/>
                <w:color w:val="auto"/>
                <w:kern w:val="0"/>
                <w:sz w:val="21"/>
                <w:szCs w:val="21"/>
                <w:u w:val="none"/>
                <w:lang w:val="en-US" w:eastAsia="zh-CN" w:bidi="ar"/>
              </w:rPr>
              <w:t>施工沿线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矩形铅芯隔震橡胶支座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J4Q-470mm*570mm*177mm-G1.0MPa</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718</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矩形铅芯隔震橡胶支座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J4Q-520mm*520mm*121mm-G1.0MPa</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6</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4</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JZQZ-12.5MN/1.25MN-DX-Z100mm/e400mm-4.5s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5</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JZQZ-12.5MN/1.25MN-GD-e400mm-4.5s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6</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JZQZ-12.5MN/1.25MN-SX-Z100mm/e400mm-4.5s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2</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7</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JZQZ-3.5MN/0.35MN-DX-e400mm-4s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8</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JZQZ-3.5MN/0.35MN-DX-Z100mm/e400mm-4s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3</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9</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JZQZ-3.5MN/0.35MN-SX-e400mm-4s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10</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JZQZ-3.5MN/0.35MN-SX-Z100mm/e400mm-4s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3</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11</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JZQZ-4.0MN/0.4MN-DX-Z100mm/e400mm-4s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12</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JZQZ-4.0MN/0.4MN-DX-Z100mm/e400mm-4s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4</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13</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JZQZ-4.0MN/0.4MN-DX-Z100mm/e300mm-4s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3</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14</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JZQZ-4.0MN/0.4MN-SX-Z100mm/e300mm-4s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3</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15</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JZQZ-4.0MN/0.4MN-SX-Z100mm/e400mm-4s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5</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16</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JZQZ-4.0MN/-DX-e400mm</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17</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JZQZ-4.0MN/-SX-e400mm</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18</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JZQZ-5.0MN/0.5MN-DX-Z100mm/e400mm-4s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2</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19</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JZQZ-5.0MN/0.5MN-SX-Z100mm/e400mm-4s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2</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20</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JZQZ-6.0MN/0.6MN-DX-H100mm-e400mm-4s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21</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JZQZ-6.0MN/0.6MN-DX-Z100mm/e400mm-4s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3</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22</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JZQZ-6.0MN/0.6MN-GD-e400mm-4s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23</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JZQZ-6.0MN/0.6MN-SX-Z100mm/e400mm-4s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5</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24</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JZQZ-7.0MN/0.7MN-DX-H100mm-e400mm-4s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25</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JZQZ-7.0MN/0.7MN-DX-Z100mm/e400mm-4s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26</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JZQZ-7.0MN/0.7MN-GD-e400mm-4s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27</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JZQZ-7.0MN/0.7MN-SX-Z100mm/e400mm-4s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28</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JZQZ-8.0MN/0.8MN-DX-H100mm-e300mm-4s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29</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JZQZ-8.0MN/0.8MN-DX-H100mm-e400mm-4s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3</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30</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JZQZ-8.0MN/0.8MN-DX-Z100mm/e300mm-4s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31</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JZQZ-8.0MN/0.8MN-DX-Z100mm/e300mm-4s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32</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33</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JZQZ-8.0MN/0.8MN-DX-Z100mm/e400mm-4s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4</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34</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JZQZ-8.0MN/0.8MN-GD-e300mm-4s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4</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35</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JZQZ-8.0MN/0.8MN-SX-Z100mm/e300mm-4s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2</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36</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JZQZ-8.0MN/0.8MN-SX-Z100mm/e400mm-4s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5</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7"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37</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JZQZ-9.0MN/0.9MN-DX-H100mm-e400mm-4s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2</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38</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JZQZ-9.0MN/0.9MN-GD-e400mm-4s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39</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JZQZ-9.0MN/0.9MN-SX-Z100mm/e400mm-4s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40</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普通矩形板式橡胶支座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GBZJ350*500*84(CR)</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166</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41</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JZQZ-25.0MN/2.5MN-GD-e400mm</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42</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JZQZ-17.5MN/1.75MN-DX-H100mm-e400mm-4.5s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43</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JZQZ-25.0MN/2.5MN-DX-Z100mm/e400mm</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44</w:t>
            </w:r>
          </w:p>
        </w:tc>
        <w:tc>
          <w:tcPr>
            <w:tcW w:w="191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桥梁摩擦摆式减隔震支座</w:t>
            </w:r>
          </w:p>
        </w:tc>
        <w:tc>
          <w:tcPr>
            <w:tcW w:w="28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left"/>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JZQZ-17.5MN/1.75MN-SX-Z100mm/e400mm-4.5s</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套</w:t>
            </w: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00" w:lineRule="exact"/>
              <w:jc w:val="center"/>
              <w:rPr>
                <w:rFonts w:hint="eastAsia" w:ascii="黑体" w:hAnsi="黑体" w:eastAsia="黑体" w:cs="黑体"/>
                <w:color w:val="auto"/>
                <w:kern w:val="2"/>
                <w:sz w:val="21"/>
                <w:szCs w:val="21"/>
                <w:lang w:val="en-US" w:eastAsia="zh-CN" w:bidi="ar-SA"/>
              </w:rPr>
            </w:pPr>
            <w:r>
              <w:rPr>
                <w:rFonts w:hint="eastAsia" w:ascii="黑体" w:hAnsi="黑体" w:eastAsia="黑体" w:cs="黑体"/>
                <w:color w:val="auto"/>
                <w:kern w:val="2"/>
                <w:sz w:val="21"/>
                <w:szCs w:val="21"/>
                <w:lang w:val="en-US" w:eastAsia="zh-CN" w:bidi="ar-SA"/>
              </w:rPr>
              <w:t>1</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17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7" w:hRule="atLeast"/>
        </w:trPr>
        <w:tc>
          <w:tcPr>
            <w:tcW w:w="551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合计</w:t>
            </w:r>
          </w:p>
        </w:tc>
        <w:tc>
          <w:tcPr>
            <w:tcW w:w="55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c>
          <w:tcPr>
            <w:tcW w:w="78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黑体" w:hAnsi="黑体" w:eastAsia="黑体" w:cs="黑体"/>
                <w:i w:val="0"/>
                <w:iCs w:val="0"/>
                <w:color w:val="auto"/>
                <w:sz w:val="21"/>
                <w:szCs w:val="21"/>
                <w:u w:val="none"/>
                <w:lang w:val="en-US"/>
              </w:rPr>
            </w:pPr>
            <w:r>
              <w:rPr>
                <w:rFonts w:hint="eastAsia" w:ascii="黑体" w:hAnsi="黑体" w:eastAsia="黑体" w:cs="黑体"/>
                <w:i w:val="0"/>
                <w:iCs w:val="0"/>
                <w:color w:val="auto"/>
                <w:kern w:val="0"/>
                <w:sz w:val="21"/>
                <w:szCs w:val="21"/>
                <w:u w:val="none"/>
                <w:lang w:val="en-US" w:eastAsia="zh-CN" w:bidi="ar"/>
              </w:rPr>
              <w:t>970</w:t>
            </w:r>
          </w:p>
        </w:tc>
        <w:tc>
          <w:tcPr>
            <w:tcW w:w="16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0"/>
                <w:szCs w:val="20"/>
                <w:u w:val="none"/>
              </w:rPr>
            </w:pPr>
          </w:p>
        </w:tc>
        <w:tc>
          <w:tcPr>
            <w:tcW w:w="17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i w:val="0"/>
                <w:iCs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7" w:hRule="atLeast"/>
        </w:trPr>
        <w:tc>
          <w:tcPr>
            <w:tcW w:w="10250"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黑体" w:hAnsi="黑体" w:eastAsia="黑体" w:cs="黑体"/>
                <w:i w:val="0"/>
                <w:iCs w:val="0"/>
                <w:color w:val="auto"/>
                <w:kern w:val="0"/>
                <w:sz w:val="21"/>
                <w:szCs w:val="21"/>
                <w:u w:val="none"/>
                <w:lang w:val="en-US" w:eastAsia="zh-CN" w:bidi="ar"/>
              </w:rPr>
            </w:pPr>
            <w:r>
              <w:rPr>
                <w:rFonts w:hint="eastAsia" w:ascii="黑体" w:hAnsi="黑体" w:eastAsia="黑体" w:cs="黑体"/>
                <w:i w:val="0"/>
                <w:iCs w:val="0"/>
                <w:color w:val="auto"/>
                <w:kern w:val="0"/>
                <w:sz w:val="21"/>
                <w:szCs w:val="21"/>
                <w:u w:val="none"/>
                <w:lang w:val="en-US" w:eastAsia="zh-CN" w:bidi="ar"/>
              </w:rPr>
              <w:t>备注：1.以上招标数量为初步估算数量，仅供参考。最终结算量以实际供货并经验收合格的规格和数量为准，若因施工图、设计变更等原因，致使与招标材料实际供货数量与招标数量发生较大偏差时，投标人应予接受，并不得以此作为调价和索赔依据。价格为含税、含运费固定交货价。</w:t>
            </w:r>
          </w:p>
          <w:p>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黑体" w:hAnsi="黑体" w:eastAsia="黑体" w:cs="黑体"/>
                <w:i w:val="0"/>
                <w:iCs w:val="0"/>
                <w:color w:val="auto"/>
                <w:sz w:val="21"/>
                <w:szCs w:val="21"/>
                <w:u w:val="none"/>
              </w:rPr>
            </w:pPr>
            <w:r>
              <w:rPr>
                <w:rFonts w:hint="eastAsia" w:ascii="黑体" w:hAnsi="黑体" w:eastAsia="黑体" w:cs="黑体"/>
                <w:i w:val="0"/>
                <w:iCs w:val="0"/>
                <w:color w:val="auto"/>
                <w:kern w:val="0"/>
                <w:sz w:val="21"/>
                <w:szCs w:val="21"/>
                <w:u w:val="none"/>
                <w:lang w:val="en-US" w:eastAsia="zh-CN" w:bidi="ar"/>
              </w:rPr>
              <w:t>2.以上规格型号的橡胶支座包含相对应的配件，不含预埋钢板。</w:t>
            </w:r>
          </w:p>
        </w:tc>
      </w:tr>
      <w:bookmarkEnd w:id="13"/>
    </w:tbl>
    <w:p>
      <w:pPr>
        <w:pStyle w:val="5"/>
        <w:spacing w:line="400" w:lineRule="exact"/>
        <w:jc w:val="left"/>
        <w:rPr>
          <w:rFonts w:hint="eastAsia"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2.3本项目不接受联合体投标。</w:t>
      </w:r>
      <w:r>
        <w:rPr>
          <w:rFonts w:hint="eastAsia" w:ascii="黑体" w:hAnsi="黑体" w:eastAsia="黑体" w:cs="Times New Roman"/>
          <w:color w:val="auto"/>
          <w:kern w:val="2"/>
          <w:sz w:val="21"/>
          <w:szCs w:val="21"/>
          <w:highlight w:val="none"/>
          <w:lang w:val="en-US" w:eastAsia="zh-CN" w:bidi="ar-SA"/>
        </w:rPr>
        <w:fldChar w:fldCharType="begin"/>
      </w:r>
      <w:r>
        <w:rPr>
          <w:rFonts w:hint="eastAsia" w:ascii="黑体" w:hAnsi="黑体" w:eastAsia="黑体" w:cs="Times New Roman"/>
          <w:color w:val="auto"/>
          <w:kern w:val="2"/>
          <w:sz w:val="21"/>
          <w:szCs w:val="21"/>
          <w:highlight w:val="none"/>
          <w:lang w:val="en-US" w:eastAsia="zh-CN" w:bidi="ar-SA"/>
        </w:rPr>
        <w:instrText xml:space="preserve"> AUTOTEXT  input361 \* MERGEFORMAT </w:instrText>
      </w:r>
      <w:r>
        <w:rPr>
          <w:rFonts w:hint="eastAsia" w:ascii="黑体" w:hAnsi="黑体" w:eastAsia="黑体" w:cs="Times New Roman"/>
          <w:color w:val="auto"/>
          <w:kern w:val="2"/>
          <w:sz w:val="21"/>
          <w:szCs w:val="21"/>
          <w:highlight w:val="none"/>
          <w:lang w:val="en-US" w:eastAsia="zh-CN" w:bidi="ar-SA"/>
        </w:rPr>
        <w:fldChar w:fldCharType="separate"/>
      </w:r>
      <w:r>
        <w:rPr>
          <w:rFonts w:hint="eastAsia" w:ascii="黑体" w:hAnsi="黑体" w:eastAsia="黑体" w:cs="Times New Roman"/>
          <w:color w:val="auto"/>
          <w:kern w:val="2"/>
          <w:sz w:val="21"/>
          <w:szCs w:val="21"/>
          <w:highlight w:val="none"/>
          <w:lang w:val="en-US" w:eastAsia="zh-CN" w:bidi="ar-SA"/>
        </w:rPr>
        <w:fldChar w:fldCharType="end"/>
      </w:r>
    </w:p>
    <w:p>
      <w:pPr>
        <w:pStyle w:val="5"/>
        <w:spacing w:line="400" w:lineRule="exact"/>
        <w:jc w:val="left"/>
        <w:rPr>
          <w:rFonts w:hint="eastAsia"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2.4其他：</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2.4.1交货期：合同签订至项目完工，实际供货时间以项目计划要求为准。</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2.4.2 交货地点：昆明市三环闭合工程东三环A段施工沿线</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2.4.3质量要求：投标人须保证按以下但不限于以下各类现行国家标准规范及图纸要求提供产品</w:t>
      </w:r>
    </w:p>
    <w:p>
      <w:pPr>
        <w:spacing w:line="400" w:lineRule="exact"/>
        <w:ind w:firstLine="420" w:firstLineChars="200"/>
        <w:jc w:val="left"/>
        <w:rPr>
          <w:rFonts w:hint="default"/>
          <w:color w:val="auto"/>
          <w:highlight w:val="none"/>
          <w:lang w:val="en-US" w:eastAsia="zh-CN"/>
        </w:rPr>
      </w:pPr>
      <w:r>
        <w:rPr>
          <w:rFonts w:hint="eastAsia" w:ascii="黑体" w:hAnsi="黑体" w:eastAsia="黑体"/>
          <w:color w:val="auto"/>
          <w:kern w:val="2"/>
          <w:sz w:val="21"/>
          <w:szCs w:val="21"/>
          <w:highlight w:val="none"/>
        </w:rPr>
        <w:t>（1）橡胶支座检测依据：《橡胶支座第1部分:隔震橡胶支座试验方法》（GB 20688.1-2007）</w:t>
      </w:r>
    </w:p>
    <w:p>
      <w:pPr>
        <w:spacing w:line="400" w:lineRule="exact"/>
        <w:ind w:firstLine="420" w:firstLineChars="200"/>
        <w:jc w:val="left"/>
        <w:rPr>
          <w:rFonts w:hint="eastAsia" w:ascii="黑体" w:hAnsi="黑体" w:eastAsia="黑体" w:cs="Times New Roman"/>
          <w:color w:val="auto"/>
          <w:kern w:val="2"/>
          <w:sz w:val="21"/>
          <w:szCs w:val="21"/>
          <w:highlight w:val="none"/>
          <w:lang w:val="en-US" w:eastAsia="zh-CN"/>
        </w:rPr>
      </w:pPr>
      <w:r>
        <w:rPr>
          <w:rFonts w:hint="eastAsia" w:ascii="黑体" w:hAnsi="黑体" w:eastAsia="黑体" w:cs="Times New Roman"/>
          <w:color w:val="auto"/>
          <w:kern w:val="2"/>
          <w:sz w:val="21"/>
          <w:szCs w:val="21"/>
          <w:highlight w:val="none"/>
          <w:lang w:val="en-US" w:eastAsia="zh-CN"/>
        </w:rPr>
        <w:t>（2）《公路桥梁摩擦摆式减隔震支座》(JT/T 852--2013)</w:t>
      </w:r>
    </w:p>
    <w:p>
      <w:pPr>
        <w:spacing w:line="400" w:lineRule="exact"/>
        <w:ind w:firstLine="420" w:firstLineChars="200"/>
        <w:jc w:val="left"/>
        <w:rPr>
          <w:rFonts w:hint="eastAsia" w:ascii="黑体" w:hAnsi="黑体" w:eastAsia="黑体" w:cs="Times New Roman"/>
          <w:color w:val="auto"/>
          <w:kern w:val="2"/>
          <w:sz w:val="21"/>
          <w:szCs w:val="21"/>
          <w:highlight w:val="none"/>
          <w:lang w:val="en-US" w:eastAsia="zh-CN"/>
        </w:rPr>
      </w:pPr>
      <w:r>
        <w:rPr>
          <w:rFonts w:hint="eastAsia" w:ascii="黑体" w:hAnsi="黑体" w:eastAsia="黑体" w:cs="Times New Roman"/>
          <w:color w:val="auto"/>
          <w:kern w:val="2"/>
          <w:sz w:val="21"/>
          <w:szCs w:val="21"/>
          <w:highlight w:val="none"/>
          <w:lang w:val="en-US" w:eastAsia="zh-CN"/>
        </w:rPr>
        <w:t>（3）《公路桥梁铅芯隔振橡胶支座》(JT/T 822-2011)</w:t>
      </w:r>
    </w:p>
    <w:p>
      <w:pPr>
        <w:spacing w:line="400" w:lineRule="exact"/>
        <w:ind w:firstLine="420" w:firstLineChars="200"/>
        <w:jc w:val="left"/>
        <w:rPr>
          <w:rFonts w:hint="eastAsia" w:ascii="黑体" w:hAnsi="黑体" w:eastAsia="黑体" w:cs="Times New Roman"/>
          <w:color w:val="auto"/>
          <w:kern w:val="2"/>
          <w:sz w:val="21"/>
          <w:szCs w:val="21"/>
          <w:highlight w:val="none"/>
          <w:lang w:val="en-US" w:eastAsia="zh-CN"/>
        </w:rPr>
      </w:pPr>
      <w:r>
        <w:rPr>
          <w:rFonts w:hint="eastAsia" w:ascii="黑体" w:hAnsi="黑体" w:eastAsia="黑体" w:cs="Times New Roman"/>
          <w:color w:val="auto"/>
          <w:kern w:val="2"/>
          <w:sz w:val="21"/>
          <w:szCs w:val="21"/>
          <w:highlight w:val="none"/>
          <w:lang w:val="en-US" w:eastAsia="zh-CN"/>
        </w:rPr>
        <w:t>（4）《公路桥梁板式橡胶支座》(JT/T 4-2019)</w:t>
      </w:r>
    </w:p>
    <w:p>
      <w:pPr>
        <w:spacing w:line="400" w:lineRule="exact"/>
        <w:ind w:firstLine="420" w:firstLineChars="200"/>
        <w:jc w:val="left"/>
        <w:rPr>
          <w:rFonts w:hint="eastAsia" w:ascii="黑体" w:hAnsi="黑体" w:eastAsia="黑体" w:cs="Times New Roman"/>
          <w:color w:val="auto"/>
          <w:kern w:val="2"/>
          <w:sz w:val="21"/>
          <w:szCs w:val="21"/>
          <w:highlight w:val="none"/>
          <w:lang w:val="en-US" w:eastAsia="zh-CN"/>
        </w:rPr>
      </w:pPr>
      <w:r>
        <w:rPr>
          <w:rFonts w:hint="eastAsia" w:ascii="黑体" w:hAnsi="黑体" w:eastAsia="黑体" w:cs="Times New Roman"/>
          <w:color w:val="auto"/>
          <w:kern w:val="2"/>
          <w:sz w:val="21"/>
          <w:szCs w:val="21"/>
          <w:highlight w:val="none"/>
          <w:lang w:val="en-US" w:eastAsia="zh-CN"/>
        </w:rPr>
        <w:t>（5）昆明市三环闭合工程东三环A段项目橡胶支座图纸文件</w:t>
      </w:r>
    </w:p>
    <w:p>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default" w:ascii="黑体" w:hAnsi="黑体" w:eastAsia="黑体" w:cs="Times New Roman"/>
          <w:color w:val="auto"/>
          <w:kern w:val="2"/>
          <w:sz w:val="21"/>
          <w:szCs w:val="21"/>
          <w:highlight w:val="none"/>
          <w:lang w:val="en-US" w:eastAsia="zh-CN" w:bidi="ar-SA"/>
        </w:rPr>
      </w:pPr>
      <w:r>
        <w:rPr>
          <w:rFonts w:hint="eastAsia" w:ascii="黑体" w:hAnsi="黑体" w:eastAsia="黑体" w:cs="Times New Roman"/>
          <w:color w:val="auto"/>
          <w:kern w:val="2"/>
          <w:sz w:val="21"/>
          <w:szCs w:val="21"/>
          <w:highlight w:val="none"/>
          <w:lang w:val="en-US" w:eastAsia="zh-CN" w:bidi="ar-SA"/>
        </w:rPr>
        <w:t>若有新的国家标准颁布，则以最新标准为准。</w:t>
      </w:r>
    </w:p>
    <w:p>
      <w:pPr>
        <w:keepNext w:val="0"/>
        <w:keepLines w:val="0"/>
        <w:pageBreakBefore w:val="0"/>
        <w:kinsoku/>
        <w:wordWrap/>
        <w:overflowPunct/>
        <w:topLinePunct w:val="0"/>
        <w:autoSpaceDE/>
        <w:autoSpaceDN/>
        <w:bidi w:val="0"/>
        <w:adjustRightInd/>
        <w:snapToGrid/>
        <w:spacing w:line="400" w:lineRule="exact"/>
        <w:jc w:val="left"/>
        <w:textAlignment w:val="auto"/>
        <w:rPr>
          <w:rFonts w:ascii="黑体" w:hAnsi="黑体" w:eastAsia="黑体"/>
          <w:color w:val="auto"/>
          <w:sz w:val="21"/>
          <w:szCs w:val="21"/>
          <w:highlight w:val="none"/>
        </w:rPr>
      </w:pPr>
      <w:r>
        <w:rPr>
          <w:rFonts w:ascii="黑体" w:hAnsi="黑体" w:eastAsia="黑体"/>
          <w:color w:val="auto"/>
          <w:sz w:val="21"/>
          <w:szCs w:val="21"/>
          <w:highlight w:val="none"/>
        </w:rPr>
        <w:t>2.</w:t>
      </w:r>
      <w:r>
        <w:rPr>
          <w:rFonts w:hint="eastAsia" w:ascii="黑体" w:hAnsi="黑体" w:eastAsia="黑体"/>
          <w:color w:val="auto"/>
          <w:sz w:val="21"/>
          <w:szCs w:val="21"/>
          <w:highlight w:val="none"/>
        </w:rPr>
        <w:t>4</w:t>
      </w:r>
      <w:r>
        <w:rPr>
          <w:rFonts w:ascii="黑体" w:hAnsi="黑体" w:eastAsia="黑体"/>
          <w:color w:val="auto"/>
          <w:sz w:val="21"/>
          <w:szCs w:val="21"/>
          <w:highlight w:val="none"/>
        </w:rPr>
        <w:t>.4</w:t>
      </w:r>
      <w:r>
        <w:rPr>
          <w:rFonts w:hint="eastAsia" w:ascii="黑体" w:hAnsi="黑体" w:eastAsia="黑体" w:cs="Times New Roman"/>
          <w:color w:val="auto"/>
          <w:kern w:val="2"/>
          <w:sz w:val="21"/>
          <w:szCs w:val="21"/>
          <w:highlight w:val="none"/>
          <w:lang w:val="en-US" w:eastAsia="zh-CN" w:bidi="ar-SA"/>
        </w:rPr>
        <w:t>资格审查方式</w:t>
      </w:r>
      <w:r>
        <w:rPr>
          <w:rFonts w:hint="eastAsia" w:ascii="黑体" w:hAnsi="黑体" w:eastAsia="黑体"/>
          <w:color w:val="auto"/>
          <w:sz w:val="21"/>
          <w:szCs w:val="21"/>
          <w:highlight w:val="none"/>
        </w:rPr>
        <w:t>：</w:t>
      </w:r>
      <w:r>
        <w:rPr>
          <w:rFonts w:hint="eastAsia" w:ascii="黑体" w:hAnsi="黑体" w:eastAsia="黑体"/>
          <w:b/>
          <w:bCs/>
          <w:color w:val="auto"/>
          <w:sz w:val="21"/>
          <w:szCs w:val="21"/>
          <w:highlight w:val="none"/>
        </w:rPr>
        <w:t>资格后审</w:t>
      </w:r>
      <w:r>
        <w:rPr>
          <w:rFonts w:hint="eastAsia" w:ascii="黑体" w:hAnsi="黑体" w:eastAsia="黑体"/>
          <w:b w:val="0"/>
          <w:bCs w:val="0"/>
          <w:color w:val="auto"/>
          <w:sz w:val="21"/>
          <w:szCs w:val="21"/>
          <w:highlight w:val="none"/>
          <w:lang w:eastAsia="zh-CN"/>
        </w:rPr>
        <w:t>（电商平台上的资格预审流程为报名初审，资格终审结果以评标小组对投标人提交的投标文件的审核意见为准）</w:t>
      </w:r>
      <w:r>
        <w:rPr>
          <w:rFonts w:hint="eastAsia" w:ascii="黑体" w:hAnsi="黑体" w:eastAsia="黑体"/>
          <w:color w:val="auto"/>
          <w:sz w:val="21"/>
          <w:szCs w:val="21"/>
          <w:highlight w:val="none"/>
        </w:rPr>
        <w:t>。</w:t>
      </w:r>
      <w:r>
        <w:rPr>
          <w:rFonts w:ascii="黑体" w:hAnsi="黑体" w:eastAsia="黑体"/>
          <w:color w:val="auto"/>
          <w:sz w:val="21"/>
          <w:szCs w:val="21"/>
          <w:highlight w:val="none"/>
        </w:rPr>
        <w:fldChar w:fldCharType="begin"/>
      </w:r>
      <w:r>
        <w:rPr>
          <w:rFonts w:ascii="黑体" w:hAnsi="黑体" w:eastAsia="黑体"/>
          <w:color w:val="auto"/>
          <w:sz w:val="21"/>
          <w:szCs w:val="21"/>
          <w:highlight w:val="none"/>
        </w:rPr>
        <w:instrText xml:space="preserve"> </w:instrText>
      </w:r>
      <w:r>
        <w:rPr>
          <w:rFonts w:hint="eastAsia" w:ascii="黑体" w:hAnsi="黑体" w:eastAsia="黑体"/>
          <w:color w:val="auto"/>
          <w:sz w:val="21"/>
          <w:szCs w:val="21"/>
          <w:highlight w:val="none"/>
        </w:rPr>
        <w:instrText xml:space="preserve">AUTOTEXT  input362 \* MERGEFORMAT</w:instrText>
      </w:r>
      <w:r>
        <w:rPr>
          <w:rFonts w:ascii="黑体" w:hAnsi="黑体" w:eastAsia="黑体"/>
          <w:color w:val="auto"/>
          <w:sz w:val="21"/>
          <w:szCs w:val="21"/>
          <w:highlight w:val="none"/>
        </w:rPr>
        <w:instrText xml:space="preserve"> </w:instrText>
      </w:r>
      <w:r>
        <w:rPr>
          <w:rFonts w:ascii="黑体" w:hAnsi="黑体" w:eastAsia="黑体"/>
          <w:color w:val="auto"/>
          <w:sz w:val="21"/>
          <w:szCs w:val="21"/>
          <w:highlight w:val="none"/>
        </w:rPr>
        <w:fldChar w:fldCharType="separate"/>
      </w:r>
      <w:r>
        <w:rPr>
          <w:rFonts w:ascii="黑体" w:hAnsi="黑体" w:eastAsia="黑体"/>
          <w:color w:val="auto"/>
          <w:sz w:val="21"/>
          <w:szCs w:val="21"/>
          <w:highlight w:val="none"/>
        </w:rPr>
        <w:fldChar w:fldCharType="end"/>
      </w:r>
    </w:p>
    <w:p>
      <w:pPr>
        <w:pStyle w:val="5"/>
        <w:keepNext w:val="0"/>
        <w:keepLines w:val="0"/>
        <w:pageBreakBefore w:val="0"/>
        <w:numPr>
          <w:ilvl w:val="0"/>
          <w:numId w:val="1"/>
        </w:numPr>
        <w:kinsoku/>
        <w:wordWrap/>
        <w:overflowPunct/>
        <w:topLinePunct w:val="0"/>
        <w:autoSpaceDE/>
        <w:autoSpaceDN/>
        <w:bidi w:val="0"/>
        <w:adjustRightInd/>
        <w:snapToGrid/>
        <w:spacing w:line="400" w:lineRule="exact"/>
        <w:ind w:left="0" w:leftChars="0" w:firstLineChars="0"/>
        <w:jc w:val="left"/>
        <w:textAlignment w:val="auto"/>
        <w:rPr>
          <w:rFonts w:hint="eastAsia" w:ascii="黑体" w:hAnsi="黑体" w:eastAsia="黑体"/>
          <w:b/>
          <w:color w:val="auto"/>
          <w:szCs w:val="21"/>
          <w:highlight w:val="none"/>
        </w:rPr>
      </w:pPr>
      <w:r>
        <w:rPr>
          <w:rFonts w:hint="eastAsia" w:ascii="黑体" w:hAnsi="黑体" w:eastAsia="黑体"/>
          <w:b/>
          <w:color w:val="auto"/>
          <w:szCs w:val="21"/>
          <w:highlight w:val="none"/>
        </w:rPr>
        <w:t>投标人资格要求</w:t>
      </w:r>
    </w:p>
    <w:p>
      <w:pPr>
        <w:pStyle w:val="5"/>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ascii="黑体" w:hAnsi="黑体" w:eastAsia="黑体" w:cs="宋体"/>
          <w:b/>
          <w:bCs/>
          <w:color w:val="auto"/>
          <w:szCs w:val="21"/>
          <w:highlight w:val="none"/>
        </w:rPr>
      </w:pPr>
      <w:r>
        <w:rPr>
          <w:rFonts w:hint="eastAsia" w:ascii="黑体" w:hAnsi="黑体" w:eastAsia="黑体" w:cs="宋体"/>
          <w:b/>
          <w:bCs/>
          <w:color w:val="auto"/>
          <w:szCs w:val="21"/>
          <w:highlight w:val="none"/>
        </w:rPr>
        <w:t>3.1投标人资质要求：</w:t>
      </w:r>
    </w:p>
    <w:p>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宋体"/>
          <w:color w:val="auto"/>
          <w:kern w:val="2"/>
          <w:sz w:val="21"/>
          <w:szCs w:val="21"/>
          <w:highlight w:val="none"/>
          <w:lang w:val="en-US" w:eastAsia="zh-CN" w:bidi="ar-SA"/>
        </w:rPr>
      </w:pPr>
      <w:r>
        <w:rPr>
          <w:rFonts w:hint="eastAsia" w:ascii="黑体" w:hAnsi="黑体" w:eastAsia="黑体" w:cs="宋体"/>
          <w:color w:val="auto"/>
          <w:kern w:val="2"/>
          <w:sz w:val="21"/>
          <w:szCs w:val="21"/>
          <w:highlight w:val="none"/>
          <w:lang w:val="en-US" w:eastAsia="zh-CN" w:bidi="ar-SA"/>
        </w:rPr>
        <w:t>投标人须是在国内合法注册的，具有独立法人资格，具有国家行政管理部门核发的营业执照、生产许可证，通过质量体系认证的生产厂家，且相关证书在有效期内。生产厂家产品取得国家授权、许可的第三方产品检验检测机构出具的证书或检验报告。</w:t>
      </w:r>
    </w:p>
    <w:p>
      <w:pPr>
        <w:pStyle w:val="5"/>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ascii="黑体" w:hAnsi="黑体" w:eastAsia="黑体" w:cs="宋体"/>
          <w:color w:val="auto"/>
          <w:szCs w:val="21"/>
          <w:highlight w:val="none"/>
        </w:rPr>
      </w:pPr>
      <w:r>
        <w:rPr>
          <w:rFonts w:hint="eastAsia" w:ascii="黑体" w:hAnsi="黑体" w:eastAsia="黑体" w:cs="宋体"/>
          <w:color w:val="auto"/>
          <w:szCs w:val="21"/>
          <w:highlight w:val="none"/>
        </w:rPr>
        <w:t>（1）具备营业执照；</w:t>
      </w:r>
    </w:p>
    <w:p>
      <w:pPr>
        <w:pStyle w:val="5"/>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宋体"/>
          <w:color w:val="auto"/>
          <w:szCs w:val="21"/>
          <w:highlight w:val="none"/>
        </w:rPr>
      </w:pPr>
      <w:r>
        <w:rPr>
          <w:rFonts w:hint="eastAsia" w:ascii="黑体" w:hAnsi="黑体" w:eastAsia="黑体" w:cs="宋体"/>
          <w:color w:val="auto"/>
          <w:szCs w:val="21"/>
          <w:highlight w:val="none"/>
        </w:rPr>
        <w:t>（</w:t>
      </w:r>
      <w:r>
        <w:rPr>
          <w:rFonts w:ascii="黑体" w:hAnsi="黑体" w:eastAsia="黑体" w:cs="宋体"/>
          <w:color w:val="auto"/>
          <w:szCs w:val="21"/>
          <w:highlight w:val="none"/>
        </w:rPr>
        <w:t>2</w:t>
      </w:r>
      <w:r>
        <w:rPr>
          <w:rFonts w:hint="eastAsia" w:ascii="黑体" w:hAnsi="黑体" w:eastAsia="黑体" w:cs="宋体"/>
          <w:color w:val="auto"/>
          <w:szCs w:val="21"/>
          <w:highlight w:val="none"/>
        </w:rPr>
        <w:t>）具有有效的生产许可证；</w:t>
      </w:r>
    </w:p>
    <w:p>
      <w:pPr>
        <w:pStyle w:val="5"/>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宋体"/>
          <w:color w:val="auto"/>
          <w:szCs w:val="21"/>
          <w:highlight w:val="none"/>
        </w:rPr>
      </w:pPr>
      <w:r>
        <w:rPr>
          <w:rFonts w:hint="eastAsia" w:ascii="黑体" w:hAnsi="黑体" w:eastAsia="黑体" w:cs="宋体"/>
          <w:color w:val="auto"/>
          <w:szCs w:val="21"/>
          <w:highlight w:val="none"/>
        </w:rPr>
        <w:t>（3）生产的产品取得国家授权、许可的第三方产品检验检测机构出具的证书或检验报告。</w:t>
      </w:r>
    </w:p>
    <w:p>
      <w:pPr>
        <w:pStyle w:val="5"/>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ascii="黑体" w:hAnsi="黑体" w:eastAsia="黑体" w:cs="宋体"/>
          <w:b/>
          <w:bCs/>
          <w:color w:val="auto"/>
          <w:szCs w:val="21"/>
          <w:highlight w:val="none"/>
        </w:rPr>
      </w:pPr>
      <w:r>
        <w:rPr>
          <w:rFonts w:hint="eastAsia" w:ascii="黑体" w:hAnsi="黑体" w:eastAsia="黑体" w:cs="宋体"/>
          <w:b/>
          <w:bCs/>
          <w:color w:val="auto"/>
          <w:szCs w:val="21"/>
          <w:highlight w:val="none"/>
        </w:rPr>
        <w:t>3.2质量要求：</w:t>
      </w:r>
    </w:p>
    <w:p>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宋体"/>
          <w:color w:val="auto"/>
          <w:kern w:val="2"/>
          <w:sz w:val="21"/>
          <w:szCs w:val="21"/>
          <w:highlight w:val="none"/>
          <w:lang w:eastAsia="zh-CN"/>
        </w:rPr>
      </w:pPr>
      <w:r>
        <w:rPr>
          <w:rFonts w:hint="eastAsia" w:ascii="黑体" w:hAnsi="黑体" w:eastAsia="黑体" w:cs="宋体"/>
          <w:color w:val="auto"/>
          <w:kern w:val="2"/>
          <w:sz w:val="21"/>
          <w:szCs w:val="21"/>
          <w:highlight w:val="none"/>
        </w:rPr>
        <w:t>提供近3年（20</w:t>
      </w:r>
      <w:r>
        <w:rPr>
          <w:rFonts w:hint="eastAsia" w:ascii="黑体" w:hAnsi="黑体" w:eastAsia="黑体" w:cs="宋体"/>
          <w:color w:val="auto"/>
          <w:kern w:val="2"/>
          <w:sz w:val="21"/>
          <w:szCs w:val="21"/>
          <w:highlight w:val="none"/>
          <w:lang w:val="en-US" w:eastAsia="zh-CN"/>
        </w:rPr>
        <w:t>21</w:t>
      </w:r>
      <w:r>
        <w:rPr>
          <w:rFonts w:hint="eastAsia" w:ascii="黑体" w:hAnsi="黑体" w:eastAsia="黑体" w:cs="宋体"/>
          <w:color w:val="auto"/>
          <w:kern w:val="2"/>
          <w:sz w:val="21"/>
          <w:szCs w:val="21"/>
          <w:highlight w:val="none"/>
        </w:rPr>
        <w:t>年-</w:t>
      </w:r>
      <w:r>
        <w:rPr>
          <w:rFonts w:hint="eastAsia" w:ascii="黑体" w:hAnsi="黑体" w:eastAsia="黑体" w:cs="宋体"/>
          <w:color w:val="auto"/>
          <w:kern w:val="2"/>
          <w:sz w:val="21"/>
          <w:szCs w:val="21"/>
          <w:highlight w:val="none"/>
          <w:lang w:eastAsia="zh-CN"/>
        </w:rPr>
        <w:t>202</w:t>
      </w:r>
      <w:r>
        <w:rPr>
          <w:rFonts w:hint="eastAsia" w:ascii="黑体" w:hAnsi="黑体" w:eastAsia="黑体" w:cs="宋体"/>
          <w:color w:val="auto"/>
          <w:kern w:val="2"/>
          <w:sz w:val="21"/>
          <w:szCs w:val="21"/>
          <w:highlight w:val="none"/>
          <w:lang w:val="en-US" w:eastAsia="zh-CN"/>
        </w:rPr>
        <w:t>3</w:t>
      </w:r>
      <w:r>
        <w:rPr>
          <w:rFonts w:hint="eastAsia" w:ascii="黑体" w:hAnsi="黑体" w:eastAsia="黑体" w:cs="宋体"/>
          <w:color w:val="auto"/>
          <w:kern w:val="2"/>
          <w:sz w:val="21"/>
          <w:szCs w:val="21"/>
          <w:highlight w:val="none"/>
        </w:rPr>
        <w:t>年）省级以上质检部门出具的质量检测报告，有类似产品的设计、制造加工生产能力</w:t>
      </w:r>
      <w:r>
        <w:rPr>
          <w:rFonts w:hint="eastAsia" w:ascii="黑体" w:hAnsi="黑体" w:eastAsia="黑体" w:cs="宋体"/>
          <w:color w:val="auto"/>
          <w:kern w:val="2"/>
          <w:sz w:val="21"/>
          <w:szCs w:val="21"/>
          <w:highlight w:val="none"/>
          <w:lang w:eastAsia="zh-CN"/>
        </w:rPr>
        <w:t>，</w:t>
      </w:r>
      <w:r>
        <w:rPr>
          <w:rFonts w:hint="eastAsia" w:ascii="黑体" w:hAnsi="黑体" w:eastAsia="黑体" w:cs="宋体"/>
          <w:color w:val="auto"/>
          <w:kern w:val="2"/>
          <w:sz w:val="21"/>
          <w:szCs w:val="21"/>
          <w:highlight w:val="none"/>
        </w:rPr>
        <w:t>提供质量体系认证证书，且证书在有效期内</w:t>
      </w:r>
      <w:r>
        <w:rPr>
          <w:rFonts w:hint="eastAsia" w:ascii="黑体" w:hAnsi="黑体" w:eastAsia="黑体" w:cs="宋体"/>
          <w:color w:val="auto"/>
          <w:kern w:val="2"/>
          <w:sz w:val="21"/>
          <w:szCs w:val="21"/>
          <w:highlight w:val="none"/>
          <w:lang w:eastAsia="zh-CN"/>
        </w:rPr>
        <w:t>，</w:t>
      </w:r>
      <w:r>
        <w:rPr>
          <w:rFonts w:hint="eastAsia" w:ascii="黑体" w:hAnsi="黑体" w:eastAsia="黑体" w:cs="宋体"/>
          <w:color w:val="auto"/>
          <w:kern w:val="2"/>
          <w:sz w:val="21"/>
          <w:szCs w:val="21"/>
          <w:highlight w:val="none"/>
        </w:rPr>
        <w:t>投标人须保证投标产品质量符合国家标准现行国家标准规范的有关规定。如无2023年的检测报告，提供20</w:t>
      </w:r>
      <w:r>
        <w:rPr>
          <w:rFonts w:hint="eastAsia" w:ascii="黑体" w:hAnsi="黑体" w:eastAsia="黑体" w:cs="宋体"/>
          <w:color w:val="auto"/>
          <w:kern w:val="2"/>
          <w:sz w:val="21"/>
          <w:szCs w:val="21"/>
          <w:highlight w:val="none"/>
          <w:lang w:val="en-US" w:eastAsia="zh-CN"/>
        </w:rPr>
        <w:t>20</w:t>
      </w:r>
      <w:r>
        <w:rPr>
          <w:rFonts w:hint="eastAsia" w:ascii="黑体" w:hAnsi="黑体" w:eastAsia="黑体" w:cs="宋体"/>
          <w:color w:val="auto"/>
          <w:kern w:val="2"/>
          <w:sz w:val="21"/>
          <w:szCs w:val="21"/>
          <w:highlight w:val="none"/>
        </w:rPr>
        <w:t>年-2022年</w:t>
      </w:r>
      <w:r>
        <w:rPr>
          <w:rFonts w:hint="eastAsia" w:ascii="黑体" w:hAnsi="黑体" w:eastAsia="黑体" w:cs="宋体"/>
          <w:color w:val="auto"/>
          <w:kern w:val="2"/>
          <w:sz w:val="21"/>
          <w:szCs w:val="21"/>
          <w:highlight w:val="none"/>
          <w:lang w:eastAsia="zh-CN"/>
        </w:rPr>
        <w:t>。</w:t>
      </w:r>
    </w:p>
    <w:p>
      <w:pPr>
        <w:pStyle w:val="5"/>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黑体" w:hAnsi="黑体" w:eastAsia="黑体" w:cs="宋体"/>
          <w:b/>
          <w:bCs/>
          <w:color w:val="auto"/>
          <w:szCs w:val="21"/>
          <w:highlight w:val="none"/>
        </w:rPr>
      </w:pPr>
      <w:r>
        <w:rPr>
          <w:rFonts w:hint="eastAsia" w:ascii="黑体" w:hAnsi="黑体" w:eastAsia="黑体" w:cs="宋体"/>
          <w:b/>
          <w:bCs/>
          <w:color w:val="auto"/>
          <w:szCs w:val="21"/>
          <w:highlight w:val="none"/>
        </w:rPr>
        <w:t>3.3投标人财务要求：</w:t>
      </w:r>
    </w:p>
    <w:p>
      <w:pPr>
        <w:keepNext w:val="0"/>
        <w:keepLines w:val="0"/>
        <w:pageBreakBefore w:val="0"/>
        <w:kinsoku/>
        <w:wordWrap/>
        <w:overflowPunct/>
        <w:topLinePunct w:val="0"/>
        <w:autoSpaceDE/>
        <w:autoSpaceDN/>
        <w:bidi w:val="0"/>
        <w:adjustRightInd/>
        <w:snapToGrid/>
        <w:spacing w:line="400" w:lineRule="exact"/>
        <w:ind w:firstLine="400" w:firstLineChars="200"/>
        <w:jc w:val="both"/>
        <w:textAlignment w:val="auto"/>
        <w:rPr>
          <w:rFonts w:hint="eastAsia" w:ascii="黑体" w:hAnsi="黑体" w:eastAsia="黑体" w:cs="宋体"/>
          <w:color w:val="auto"/>
          <w:kern w:val="2"/>
          <w:sz w:val="21"/>
          <w:szCs w:val="21"/>
          <w:highlight w:val="none"/>
        </w:rPr>
      </w:pPr>
      <w:r>
        <w:rPr>
          <w:rFonts w:hint="eastAsia" w:ascii="黑体" w:hAnsi="黑体" w:eastAsia="黑体" w:cs="宋体"/>
          <w:color w:val="auto"/>
          <w:szCs w:val="21"/>
          <w:highlight w:val="none"/>
        </w:rPr>
        <w:t xml:space="preserve">3.3.1 </w:t>
      </w:r>
      <w:r>
        <w:rPr>
          <w:rFonts w:hint="eastAsia" w:ascii="黑体" w:hAnsi="黑体" w:eastAsia="黑体" w:cs="宋体"/>
          <w:color w:val="auto"/>
          <w:kern w:val="2"/>
          <w:sz w:val="21"/>
          <w:szCs w:val="21"/>
          <w:highlight w:val="none"/>
        </w:rPr>
        <w:t>投标人注册资金</w:t>
      </w:r>
      <w:r>
        <w:rPr>
          <w:rFonts w:hint="eastAsia" w:ascii="黑体" w:hAnsi="黑体" w:eastAsia="黑体" w:cs="宋体"/>
          <w:color w:val="auto"/>
          <w:kern w:val="2"/>
          <w:sz w:val="21"/>
          <w:szCs w:val="21"/>
          <w:highlight w:val="none"/>
          <w:lang w:val="en-US" w:eastAsia="zh-CN"/>
        </w:rPr>
        <w:t>8000万</w:t>
      </w:r>
      <w:r>
        <w:rPr>
          <w:rFonts w:hint="eastAsia" w:ascii="黑体" w:hAnsi="黑体" w:eastAsia="黑体" w:cs="宋体"/>
          <w:color w:val="auto"/>
          <w:kern w:val="2"/>
          <w:sz w:val="21"/>
          <w:szCs w:val="21"/>
          <w:highlight w:val="none"/>
        </w:rPr>
        <w:t>元人民币及等值货币以上。</w:t>
      </w:r>
    </w:p>
    <w:p>
      <w:pPr>
        <w:pStyle w:val="5"/>
        <w:spacing w:line="400" w:lineRule="exact"/>
        <w:ind w:firstLine="420" w:firstLineChars="200"/>
        <w:jc w:val="left"/>
        <w:rPr>
          <w:rFonts w:hint="eastAsia" w:ascii="黑体" w:hAnsi="黑体" w:eastAsia="黑体" w:cs="宋体"/>
          <w:color w:val="auto"/>
          <w:szCs w:val="21"/>
          <w:highlight w:val="none"/>
        </w:rPr>
      </w:pPr>
      <w:r>
        <w:rPr>
          <w:rFonts w:hint="eastAsia" w:ascii="黑体" w:hAnsi="黑体" w:eastAsia="黑体" w:cs="宋体"/>
          <w:color w:val="auto"/>
          <w:szCs w:val="21"/>
          <w:highlight w:val="none"/>
        </w:rPr>
        <w:t>3.3.</w:t>
      </w:r>
      <w:r>
        <w:rPr>
          <w:rFonts w:hint="eastAsia" w:ascii="黑体" w:hAnsi="黑体" w:eastAsia="黑体" w:cs="宋体"/>
          <w:color w:val="auto"/>
          <w:szCs w:val="21"/>
          <w:highlight w:val="none"/>
          <w:lang w:val="en-US" w:eastAsia="zh-CN"/>
        </w:rPr>
        <w:t>2</w:t>
      </w:r>
      <w:r>
        <w:rPr>
          <w:rFonts w:hint="eastAsia" w:ascii="黑体" w:hAnsi="黑体" w:eastAsia="黑体" w:cs="宋体"/>
          <w:color w:val="auto"/>
          <w:szCs w:val="21"/>
          <w:highlight w:val="none"/>
        </w:rPr>
        <w:t>具有良好的商业信誉和健全的财务会计制度，提供近</w:t>
      </w:r>
      <w:r>
        <w:rPr>
          <w:rFonts w:hint="eastAsia" w:ascii="黑体" w:hAnsi="黑体" w:eastAsia="黑体" w:cs="宋体"/>
          <w:color w:val="auto"/>
          <w:szCs w:val="21"/>
          <w:highlight w:val="none"/>
          <w:lang w:val="en-US" w:eastAsia="zh-CN"/>
        </w:rPr>
        <w:t>3</w:t>
      </w:r>
      <w:r>
        <w:rPr>
          <w:rFonts w:hint="eastAsia" w:ascii="黑体" w:hAnsi="黑体" w:eastAsia="黑体" w:cs="宋体"/>
          <w:color w:val="auto"/>
          <w:szCs w:val="21"/>
          <w:highlight w:val="none"/>
        </w:rPr>
        <w:t>年20</w:t>
      </w:r>
      <w:r>
        <w:rPr>
          <w:rFonts w:hint="eastAsia" w:ascii="黑体" w:hAnsi="黑体" w:eastAsia="黑体" w:cs="宋体"/>
          <w:color w:val="auto"/>
          <w:szCs w:val="21"/>
          <w:highlight w:val="none"/>
          <w:lang w:val="en-US" w:eastAsia="zh-CN"/>
        </w:rPr>
        <w:t>20</w:t>
      </w:r>
      <w:r>
        <w:rPr>
          <w:rFonts w:hint="eastAsia" w:ascii="黑体" w:hAnsi="黑体" w:eastAsia="黑体" w:cs="宋体"/>
          <w:color w:val="auto"/>
          <w:szCs w:val="21"/>
          <w:highlight w:val="none"/>
        </w:rPr>
        <w:t>年-202</w:t>
      </w:r>
      <w:r>
        <w:rPr>
          <w:rFonts w:hint="eastAsia" w:ascii="黑体" w:hAnsi="黑体" w:eastAsia="黑体" w:cs="宋体"/>
          <w:color w:val="auto"/>
          <w:szCs w:val="21"/>
          <w:highlight w:val="none"/>
          <w:lang w:val="en-US" w:eastAsia="zh-CN"/>
        </w:rPr>
        <w:t>2</w:t>
      </w:r>
      <w:r>
        <w:rPr>
          <w:rFonts w:hint="eastAsia" w:ascii="黑体" w:hAnsi="黑体" w:eastAsia="黑体" w:cs="宋体"/>
          <w:color w:val="auto"/>
          <w:szCs w:val="21"/>
          <w:highlight w:val="none"/>
        </w:rPr>
        <w:t>年，</w:t>
      </w:r>
      <w:r>
        <w:rPr>
          <w:rFonts w:hint="eastAsia" w:ascii="黑体" w:hAnsi="黑体" w:eastAsia="黑体" w:cs="宋体"/>
          <w:color w:val="auto"/>
          <w:szCs w:val="21"/>
          <w:highlight w:val="none"/>
          <w:lang w:eastAsia="zh-CN"/>
        </w:rPr>
        <w:t>（</w:t>
      </w:r>
      <w:r>
        <w:rPr>
          <w:rFonts w:hint="eastAsia" w:ascii="黑体" w:hAnsi="黑体" w:eastAsia="黑体" w:cs="宋体"/>
          <w:color w:val="auto"/>
          <w:szCs w:val="21"/>
          <w:highlight w:val="none"/>
        </w:rPr>
        <w:t>注：202</w:t>
      </w:r>
      <w:r>
        <w:rPr>
          <w:rFonts w:hint="eastAsia" w:ascii="黑体" w:hAnsi="黑体" w:eastAsia="黑体" w:cs="宋体"/>
          <w:color w:val="auto"/>
          <w:szCs w:val="21"/>
          <w:highlight w:val="none"/>
          <w:lang w:val="en-US" w:eastAsia="zh-CN"/>
        </w:rPr>
        <w:t>2</w:t>
      </w:r>
      <w:r>
        <w:rPr>
          <w:rFonts w:hint="eastAsia" w:ascii="黑体" w:hAnsi="黑体" w:eastAsia="黑体" w:cs="宋体"/>
          <w:color w:val="auto"/>
          <w:szCs w:val="21"/>
          <w:highlight w:val="none"/>
        </w:rPr>
        <w:t>年财务报表为未出结果的，则提供20</w:t>
      </w:r>
      <w:r>
        <w:rPr>
          <w:rFonts w:hint="eastAsia" w:ascii="黑体" w:hAnsi="黑体" w:eastAsia="黑体" w:cs="宋体"/>
          <w:color w:val="auto"/>
          <w:szCs w:val="21"/>
          <w:highlight w:val="none"/>
          <w:lang w:val="en-US" w:eastAsia="zh-CN"/>
        </w:rPr>
        <w:t>19</w:t>
      </w:r>
      <w:r>
        <w:rPr>
          <w:rFonts w:hint="eastAsia" w:ascii="黑体" w:hAnsi="黑体" w:eastAsia="黑体" w:cs="宋体"/>
          <w:color w:val="auto"/>
          <w:szCs w:val="21"/>
          <w:highlight w:val="none"/>
        </w:rPr>
        <w:t>年—20</w:t>
      </w:r>
      <w:r>
        <w:rPr>
          <w:rFonts w:hint="eastAsia" w:ascii="黑体" w:hAnsi="黑体" w:eastAsia="黑体" w:cs="宋体"/>
          <w:color w:val="auto"/>
          <w:szCs w:val="21"/>
          <w:highlight w:val="none"/>
          <w:lang w:val="en-US" w:eastAsia="zh-CN"/>
        </w:rPr>
        <w:t>21</w:t>
      </w:r>
      <w:r>
        <w:rPr>
          <w:rFonts w:hint="eastAsia" w:ascii="黑体" w:hAnsi="黑体" w:eastAsia="黑体" w:cs="宋体"/>
          <w:color w:val="auto"/>
          <w:szCs w:val="21"/>
          <w:highlight w:val="none"/>
        </w:rPr>
        <w:t>年的财务报表)经会计师事务所审计且加盖投标人公章的审计报告及财务报表（包括损益表、现金流量表和资产负债表，若公司成立不足1年或者公司成立满足1年以上但不满足</w:t>
      </w:r>
      <w:r>
        <w:rPr>
          <w:rFonts w:hint="eastAsia" w:ascii="黑体" w:hAnsi="黑体" w:eastAsia="黑体" w:cs="宋体"/>
          <w:color w:val="auto"/>
          <w:szCs w:val="21"/>
          <w:highlight w:val="none"/>
          <w:lang w:val="en-US" w:eastAsia="zh-CN"/>
        </w:rPr>
        <w:t>3</w:t>
      </w:r>
      <w:r>
        <w:rPr>
          <w:rFonts w:hint="eastAsia" w:ascii="黑体" w:hAnsi="黑体" w:eastAsia="黑体" w:cs="宋体"/>
          <w:color w:val="auto"/>
          <w:szCs w:val="21"/>
          <w:highlight w:val="none"/>
        </w:rPr>
        <w:t>年的，须提供成立至202</w:t>
      </w:r>
      <w:r>
        <w:rPr>
          <w:rFonts w:hint="eastAsia" w:ascii="黑体" w:hAnsi="黑体" w:eastAsia="黑体" w:cs="宋体"/>
          <w:color w:val="auto"/>
          <w:szCs w:val="21"/>
          <w:highlight w:val="none"/>
          <w:lang w:val="en-US" w:eastAsia="zh-CN"/>
        </w:rPr>
        <w:t>2</w:t>
      </w:r>
      <w:r>
        <w:rPr>
          <w:rFonts w:hint="eastAsia" w:ascii="黑体" w:hAnsi="黑体" w:eastAsia="黑体" w:cs="宋体"/>
          <w:color w:val="auto"/>
          <w:szCs w:val="21"/>
          <w:highlight w:val="none"/>
        </w:rPr>
        <w:t>年的财务会计报表），投标人</w:t>
      </w:r>
      <w:r>
        <w:rPr>
          <w:rFonts w:hint="eastAsia" w:ascii="黑体" w:hAnsi="黑体" w:eastAsia="黑体" w:cs="宋体"/>
          <w:color w:val="auto"/>
          <w:szCs w:val="21"/>
          <w:highlight w:val="none"/>
          <w:lang w:eastAsia="zh-CN"/>
        </w:rPr>
        <w:t>202</w:t>
      </w:r>
      <w:r>
        <w:rPr>
          <w:rFonts w:hint="eastAsia" w:ascii="黑体" w:hAnsi="黑体" w:eastAsia="黑体" w:cs="宋体"/>
          <w:color w:val="auto"/>
          <w:szCs w:val="21"/>
          <w:highlight w:val="none"/>
          <w:lang w:val="en-US" w:eastAsia="zh-CN"/>
        </w:rPr>
        <w:t>2</w:t>
      </w:r>
      <w:r>
        <w:rPr>
          <w:rFonts w:hint="eastAsia" w:ascii="黑体" w:hAnsi="黑体" w:eastAsia="黑体" w:cs="宋体"/>
          <w:color w:val="auto"/>
          <w:szCs w:val="21"/>
          <w:highlight w:val="none"/>
        </w:rPr>
        <w:t>年</w:t>
      </w:r>
      <w:r>
        <w:rPr>
          <w:rFonts w:hint="eastAsia" w:ascii="黑体" w:hAnsi="黑体" w:eastAsia="黑体" w:cs="宋体"/>
          <w:color w:val="auto"/>
          <w:szCs w:val="21"/>
          <w:highlight w:val="none"/>
          <w:lang w:val="en-US" w:eastAsia="zh-CN"/>
        </w:rPr>
        <w:t>或2021年</w:t>
      </w:r>
      <w:r>
        <w:rPr>
          <w:rFonts w:hint="eastAsia" w:ascii="黑体" w:hAnsi="黑体" w:eastAsia="黑体" w:cs="宋体"/>
          <w:color w:val="auto"/>
          <w:szCs w:val="21"/>
          <w:highlight w:val="none"/>
        </w:rPr>
        <w:t>资产负债率不高于75%。</w:t>
      </w:r>
    </w:p>
    <w:p>
      <w:pPr>
        <w:pStyle w:val="5"/>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宋体"/>
          <w:color w:val="auto"/>
          <w:szCs w:val="21"/>
          <w:highlight w:val="none"/>
        </w:rPr>
      </w:pPr>
      <w:r>
        <w:rPr>
          <w:rFonts w:hint="eastAsia" w:ascii="黑体" w:hAnsi="黑体" w:eastAsia="黑体" w:cs="宋体"/>
          <w:color w:val="auto"/>
          <w:szCs w:val="21"/>
          <w:highlight w:val="none"/>
        </w:rPr>
        <w:t>3.3.</w:t>
      </w:r>
      <w:r>
        <w:rPr>
          <w:rFonts w:hint="eastAsia" w:ascii="黑体" w:hAnsi="黑体" w:eastAsia="黑体" w:cs="宋体"/>
          <w:color w:val="auto"/>
          <w:szCs w:val="21"/>
          <w:highlight w:val="none"/>
          <w:lang w:val="en-US" w:eastAsia="zh-CN"/>
        </w:rPr>
        <w:t>3财务状况：有近三年的财务报表，资产负债结构合理，具备一定的盈利能力；企业的现金流量正常，资金周转不存在困难。</w:t>
      </w:r>
    </w:p>
    <w:p>
      <w:pPr>
        <w:keepNext w:val="0"/>
        <w:keepLines w:val="0"/>
        <w:pageBreakBefore w:val="0"/>
        <w:widowControl/>
        <w:kinsoku/>
        <w:wordWrap/>
        <w:overflowPunct/>
        <w:topLinePunct w:val="0"/>
        <w:autoSpaceDE/>
        <w:autoSpaceDN/>
        <w:bidi w:val="0"/>
        <w:adjustRightInd/>
        <w:snapToGrid/>
        <w:spacing w:line="400" w:lineRule="exact"/>
        <w:ind w:firstLine="402" w:firstLineChars="200"/>
        <w:jc w:val="left"/>
        <w:textAlignment w:val="auto"/>
        <w:rPr>
          <w:rFonts w:hint="eastAsia" w:ascii="黑体" w:hAnsi="黑体" w:eastAsia="黑体" w:cs="宋体"/>
          <w:color w:val="auto"/>
          <w:kern w:val="2"/>
          <w:sz w:val="21"/>
          <w:szCs w:val="21"/>
          <w:highlight w:val="none"/>
          <w:lang w:val="en-US" w:eastAsia="zh-CN" w:bidi="ar-SA"/>
        </w:rPr>
      </w:pPr>
      <w:r>
        <w:rPr>
          <w:rFonts w:hint="eastAsia" w:ascii="黑体" w:hAnsi="黑体" w:eastAsia="黑体" w:cs="宋体"/>
          <w:b/>
          <w:bCs/>
          <w:color w:val="auto"/>
          <w:szCs w:val="21"/>
          <w:highlight w:val="none"/>
        </w:rPr>
        <w:t>3.4</w:t>
      </w:r>
      <w:r>
        <w:rPr>
          <w:rFonts w:hint="eastAsia" w:ascii="黑体" w:hAnsi="黑体" w:eastAsia="黑体" w:cs="宋体"/>
          <w:b/>
          <w:bCs/>
          <w:color w:val="auto"/>
          <w:kern w:val="2"/>
          <w:sz w:val="21"/>
          <w:szCs w:val="21"/>
          <w:highlight w:val="none"/>
          <w:lang w:val="en-US" w:eastAsia="zh-CN" w:bidi="ar-SA"/>
        </w:rPr>
        <w:t>投标人业绩要求</w:t>
      </w:r>
      <w:r>
        <w:rPr>
          <w:rFonts w:hint="eastAsia" w:ascii="黑体" w:hAnsi="黑体" w:eastAsia="黑体" w:cs="宋体"/>
          <w:b/>
          <w:bCs/>
          <w:color w:val="auto"/>
          <w:szCs w:val="21"/>
          <w:highlight w:val="none"/>
        </w:rPr>
        <w:t>：</w:t>
      </w:r>
      <w:r>
        <w:rPr>
          <w:rFonts w:hint="eastAsia" w:ascii="黑体" w:hAnsi="黑体" w:eastAsia="黑体" w:cs="宋体"/>
          <w:color w:val="auto"/>
          <w:kern w:val="2"/>
          <w:sz w:val="21"/>
          <w:szCs w:val="21"/>
          <w:highlight w:val="none"/>
          <w:lang w:val="en-US" w:eastAsia="zh-CN" w:bidi="ar-SA"/>
        </w:rPr>
        <w:t>投标人应具有2020年至今5个及以上省级基础建设工程（如机场、铁路、高速公路、城市轨道交通等）的橡胶支座供应业绩，且合同金额在1000万元人民币及以上，并提供相关证明材料（附中标通知书复印件、供货合同复印件、用户或业主评价证明等）。</w:t>
      </w:r>
    </w:p>
    <w:p>
      <w:pPr>
        <w:pStyle w:val="5"/>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黑体" w:hAnsi="黑体" w:eastAsia="黑体" w:cs="宋体"/>
          <w:b/>
          <w:bCs/>
          <w:color w:val="auto"/>
          <w:szCs w:val="21"/>
          <w:highlight w:val="none"/>
        </w:rPr>
      </w:pPr>
      <w:r>
        <w:rPr>
          <w:rFonts w:hint="eastAsia" w:ascii="黑体" w:hAnsi="黑体" w:eastAsia="黑体" w:cs="宋体"/>
          <w:b/>
          <w:bCs/>
          <w:color w:val="auto"/>
          <w:szCs w:val="21"/>
          <w:highlight w:val="none"/>
        </w:rPr>
        <w:t>3.5投标人信誉要求：</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3.5.1 近3年（20</w:t>
      </w:r>
      <w:r>
        <w:rPr>
          <w:rFonts w:hint="eastAsia" w:ascii="黑体" w:hAnsi="黑体" w:eastAsia="黑体" w:cs="宋体"/>
          <w:color w:val="auto"/>
          <w:kern w:val="2"/>
          <w:sz w:val="21"/>
          <w:szCs w:val="21"/>
          <w:highlight w:val="none"/>
          <w:lang w:val="en-US" w:eastAsia="zh-CN"/>
        </w:rPr>
        <w:t>20</w:t>
      </w:r>
      <w:r>
        <w:rPr>
          <w:rFonts w:hint="eastAsia" w:ascii="黑体" w:hAnsi="黑体" w:eastAsia="黑体" w:cs="宋体"/>
          <w:color w:val="auto"/>
          <w:kern w:val="2"/>
          <w:sz w:val="21"/>
          <w:szCs w:val="21"/>
          <w:highlight w:val="none"/>
        </w:rPr>
        <w:t>年</w:t>
      </w:r>
      <w:r>
        <w:rPr>
          <w:rFonts w:hint="eastAsia" w:ascii="黑体" w:hAnsi="黑体" w:eastAsia="黑体" w:cs="宋体"/>
          <w:color w:val="auto"/>
          <w:kern w:val="2"/>
          <w:sz w:val="21"/>
          <w:szCs w:val="21"/>
          <w:highlight w:val="none"/>
          <w:lang w:val="en-US" w:eastAsia="zh-CN"/>
        </w:rPr>
        <w:t>1</w:t>
      </w:r>
      <w:r>
        <w:rPr>
          <w:rFonts w:hint="eastAsia" w:ascii="黑体" w:hAnsi="黑体" w:eastAsia="黑体" w:cs="宋体"/>
          <w:color w:val="auto"/>
          <w:kern w:val="2"/>
          <w:sz w:val="21"/>
          <w:szCs w:val="21"/>
          <w:highlight w:val="none"/>
        </w:rPr>
        <w:t>月至开标之日）没有在其他项目物资投标中提供虚假材料或违规违纪处于被取消投标资格；</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3.5.2近3年（20</w:t>
      </w:r>
      <w:r>
        <w:rPr>
          <w:rFonts w:hint="eastAsia" w:ascii="黑体" w:hAnsi="黑体" w:eastAsia="黑体" w:cs="宋体"/>
          <w:color w:val="auto"/>
          <w:kern w:val="2"/>
          <w:sz w:val="21"/>
          <w:szCs w:val="21"/>
          <w:highlight w:val="none"/>
          <w:lang w:val="en-US" w:eastAsia="zh-CN"/>
        </w:rPr>
        <w:t>20</w:t>
      </w:r>
      <w:r>
        <w:rPr>
          <w:rFonts w:hint="eastAsia" w:ascii="黑体" w:hAnsi="黑体" w:eastAsia="黑体" w:cs="宋体"/>
          <w:color w:val="auto"/>
          <w:kern w:val="2"/>
          <w:sz w:val="21"/>
          <w:szCs w:val="21"/>
          <w:highlight w:val="none"/>
        </w:rPr>
        <w:t>年</w:t>
      </w:r>
      <w:r>
        <w:rPr>
          <w:rFonts w:hint="eastAsia" w:ascii="黑体" w:hAnsi="黑体" w:eastAsia="黑体" w:cs="宋体"/>
          <w:color w:val="auto"/>
          <w:kern w:val="2"/>
          <w:sz w:val="21"/>
          <w:szCs w:val="21"/>
          <w:highlight w:val="none"/>
          <w:lang w:val="en-US" w:eastAsia="zh-CN"/>
        </w:rPr>
        <w:t>1</w:t>
      </w:r>
      <w:r>
        <w:rPr>
          <w:rFonts w:hint="eastAsia" w:ascii="黑体" w:hAnsi="黑体" w:eastAsia="黑体" w:cs="宋体"/>
          <w:color w:val="auto"/>
          <w:kern w:val="2"/>
          <w:sz w:val="21"/>
          <w:szCs w:val="21"/>
          <w:highlight w:val="none"/>
        </w:rPr>
        <w:t>月至开标之日）内没有与骗取合同有关的犯罪或严重违法行为而引起的诉讼和仲裁；</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3.5.3近3年（20</w:t>
      </w:r>
      <w:r>
        <w:rPr>
          <w:rFonts w:hint="eastAsia" w:ascii="黑体" w:hAnsi="黑体" w:eastAsia="黑体" w:cs="宋体"/>
          <w:color w:val="auto"/>
          <w:kern w:val="2"/>
          <w:sz w:val="21"/>
          <w:szCs w:val="21"/>
          <w:highlight w:val="none"/>
          <w:lang w:val="en-US" w:eastAsia="zh-CN"/>
        </w:rPr>
        <w:t>20</w:t>
      </w:r>
      <w:r>
        <w:rPr>
          <w:rFonts w:hint="eastAsia" w:ascii="黑体" w:hAnsi="黑体" w:eastAsia="黑体" w:cs="宋体"/>
          <w:color w:val="auto"/>
          <w:kern w:val="2"/>
          <w:sz w:val="21"/>
          <w:szCs w:val="21"/>
          <w:highlight w:val="none"/>
        </w:rPr>
        <w:t>年</w:t>
      </w:r>
      <w:r>
        <w:rPr>
          <w:rFonts w:hint="eastAsia" w:ascii="黑体" w:hAnsi="黑体" w:eastAsia="黑体" w:cs="宋体"/>
          <w:color w:val="auto"/>
          <w:kern w:val="2"/>
          <w:sz w:val="21"/>
          <w:szCs w:val="21"/>
          <w:highlight w:val="none"/>
          <w:lang w:val="en-US" w:eastAsia="zh-CN"/>
        </w:rPr>
        <w:t>1</w:t>
      </w:r>
      <w:r>
        <w:rPr>
          <w:rFonts w:hint="eastAsia" w:ascii="黑体" w:hAnsi="黑体" w:eastAsia="黑体" w:cs="宋体"/>
          <w:color w:val="auto"/>
          <w:kern w:val="2"/>
          <w:sz w:val="21"/>
          <w:szCs w:val="21"/>
          <w:highlight w:val="none"/>
        </w:rPr>
        <w:t>月至开标之日）不曾在合同中严重违约或被逐；</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3.5.4财产未被接管或冻结，企业未处于禁止或取消投标状态；</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3.5.5提供至少3份（20</w:t>
      </w:r>
      <w:r>
        <w:rPr>
          <w:rFonts w:hint="eastAsia" w:ascii="黑体" w:hAnsi="黑体" w:eastAsia="黑体" w:cs="宋体"/>
          <w:color w:val="auto"/>
          <w:kern w:val="2"/>
          <w:sz w:val="21"/>
          <w:szCs w:val="21"/>
          <w:highlight w:val="none"/>
          <w:lang w:val="en-US" w:eastAsia="zh-CN"/>
        </w:rPr>
        <w:t>20</w:t>
      </w:r>
      <w:r>
        <w:rPr>
          <w:rFonts w:hint="eastAsia" w:ascii="黑体" w:hAnsi="黑体" w:eastAsia="黑体" w:cs="宋体"/>
          <w:color w:val="auto"/>
          <w:kern w:val="2"/>
          <w:sz w:val="21"/>
          <w:szCs w:val="21"/>
          <w:highlight w:val="none"/>
        </w:rPr>
        <w:t>年</w:t>
      </w:r>
      <w:r>
        <w:rPr>
          <w:rFonts w:hint="eastAsia" w:ascii="黑体" w:hAnsi="黑体" w:eastAsia="黑体" w:cs="宋体"/>
          <w:color w:val="auto"/>
          <w:kern w:val="2"/>
          <w:sz w:val="21"/>
          <w:szCs w:val="21"/>
          <w:highlight w:val="none"/>
          <w:lang w:val="en-US" w:eastAsia="zh-CN"/>
        </w:rPr>
        <w:t>1</w:t>
      </w:r>
      <w:r>
        <w:rPr>
          <w:rFonts w:hint="eastAsia" w:ascii="黑体" w:hAnsi="黑体" w:eastAsia="黑体" w:cs="宋体"/>
          <w:color w:val="auto"/>
          <w:kern w:val="2"/>
          <w:sz w:val="21"/>
          <w:szCs w:val="21"/>
          <w:highlight w:val="none"/>
        </w:rPr>
        <w:t>月至开标之日）已供买方出具的标的物的履约情况证明（不能证明是何种材料的履约情况证明视为无效证明）；</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3.5.6不接受在云南省建设投资控股集团有限公司及其子公司处罚期内的投标单位，不接受因不保供、质量、服务问题等不履约行为与招标人有纠纷待解决单位投标；</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3.5.7不接受国家企业信用信息公示系统（http://www.gsxt.gov.cn/）中未移除经营异常名录信息或严重违法失信企业名单（黑名单）的投标人，不接受列入全国法院失信被执行人名单的投标人（中国执行信息公开网http://zxgk.court.gov.cn/）；投标人须提供国家企业信用信息公示系统（http://www.gsxt.gov.cn/）“异常经营名录”查询和“严重违法失信企业名单”最新查询截图，投标人须提供中国执行信息公开网（http://zxgk.court.gov.cn/）失信被执行人最新查询结果截图</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3.5.8投标人不存在《中华人民共和国招标投标法》、《中华人民共和国招标投标法实施条例》禁止投标的情形。</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rPr>
      </w:pPr>
      <w:r>
        <w:rPr>
          <w:rFonts w:hint="eastAsia" w:ascii="黑体" w:hAnsi="黑体" w:eastAsia="黑体" w:cs="Times New Roman"/>
          <w:b/>
          <w:color w:val="auto"/>
          <w:szCs w:val="21"/>
          <w:highlight w:val="none"/>
        </w:rPr>
        <w:t>4.平台注册</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凡满足本公告规定的投标人资格要求并有意参加的投标者，请登录“云上营家”电子商务平台官网（www.inja.com）申请注册平台供应商，经平台审核通过后方可参与本次投标。</w:t>
      </w:r>
    </w:p>
    <w:p>
      <w:pPr>
        <w:keepNext w:val="0"/>
        <w:keepLines w:val="0"/>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温馨提示：投标人提交注册申请并缴费后，平台工作人员将在2-3个工作日内进行审核，审核结果会以短信通知发送至投标人注册联系人，为不影响参与投标，请提前在平台注册，以免造成不必要的损失。</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rPr>
      </w:pPr>
      <w:r>
        <w:rPr>
          <w:rFonts w:hint="eastAsia" w:ascii="黑体" w:hAnsi="黑体" w:eastAsia="黑体" w:cs="Times New Roman"/>
          <w:b/>
          <w:color w:val="auto"/>
          <w:szCs w:val="21"/>
          <w:highlight w:val="none"/>
        </w:rPr>
        <w:t>5.招标文件的获取</w:t>
      </w:r>
    </w:p>
    <w:p>
      <w:pPr>
        <w:pStyle w:val="5"/>
        <w:spacing w:line="400" w:lineRule="exact"/>
        <w:ind w:firstLine="422" w:firstLineChars="200"/>
        <w:jc w:val="left"/>
        <w:rPr>
          <w:rFonts w:hint="eastAsia" w:ascii="仿宋_GB2312" w:hAnsi="仿宋_GB2312" w:eastAsia="仿宋_GB2312" w:cs="仿宋_GB2312"/>
          <w:b/>
          <w:caps/>
          <w:color w:val="auto"/>
          <w:sz w:val="30"/>
          <w:szCs w:val="30"/>
          <w:highlight w:val="none"/>
        </w:rPr>
      </w:pPr>
      <w:r>
        <w:rPr>
          <w:rFonts w:hint="eastAsia" w:ascii="黑体" w:hAnsi="黑体" w:eastAsia="黑体"/>
          <w:b/>
          <w:color w:val="auto"/>
          <w:szCs w:val="21"/>
          <w:highlight w:val="none"/>
        </w:rPr>
        <w:t xml:space="preserve">5.1 </w:t>
      </w:r>
      <w:bookmarkStart w:id="0" w:name="_Toc35248894"/>
      <w:r>
        <w:rPr>
          <w:rFonts w:hint="eastAsia" w:ascii="黑体" w:hAnsi="黑体" w:eastAsia="黑体"/>
          <w:b/>
          <w:color w:val="auto"/>
          <w:szCs w:val="21"/>
          <w:highlight w:val="none"/>
        </w:rPr>
        <w:t>电子版文件获取</w:t>
      </w:r>
      <w:bookmarkEnd w:id="0"/>
      <w:r>
        <w:rPr>
          <w:rFonts w:hint="eastAsia" w:ascii="仿宋_GB2312" w:hAnsi="仿宋_GB2312" w:eastAsia="仿宋_GB2312" w:cs="仿宋_GB2312"/>
          <w:b/>
          <w:caps/>
          <w:color w:val="auto"/>
          <w:sz w:val="30"/>
          <w:szCs w:val="30"/>
          <w:highlight w:val="none"/>
        </w:rPr>
        <w:t xml:space="preserve"> </w:t>
      </w:r>
    </w:p>
    <w:p>
      <w:pPr>
        <w:pStyle w:val="5"/>
        <w:spacing w:line="400" w:lineRule="exact"/>
        <w:ind w:firstLine="420" w:firstLineChars="200"/>
        <w:jc w:val="left"/>
        <w:rPr>
          <w:rFonts w:hint="eastAsia" w:ascii="黑体" w:hAnsi="黑体" w:eastAsia="黑体" w:cs="宋体"/>
          <w:color w:val="auto"/>
          <w:szCs w:val="21"/>
          <w:highlight w:val="none"/>
        </w:rPr>
      </w:pPr>
      <w:r>
        <w:rPr>
          <w:rFonts w:hint="eastAsia" w:ascii="黑体" w:hAnsi="黑体" w:eastAsia="黑体" w:cs="宋体"/>
          <w:color w:val="auto"/>
          <w:szCs w:val="21"/>
          <w:highlight w:val="none"/>
        </w:rPr>
        <w:t>已支付招标文件标书费用的投标人，请于</w:t>
      </w:r>
      <w:r>
        <w:rPr>
          <w:rFonts w:hint="eastAsia" w:ascii="黑体" w:hAnsi="黑体" w:eastAsia="黑体" w:cs="宋体"/>
          <w:color w:val="auto"/>
          <w:szCs w:val="21"/>
          <w:highlight w:val="none"/>
          <w:u w:val="single"/>
        </w:rPr>
        <w:t>202</w:t>
      </w:r>
      <w:r>
        <w:rPr>
          <w:rFonts w:hint="eastAsia" w:ascii="黑体" w:hAnsi="黑体" w:eastAsia="黑体" w:cs="宋体"/>
          <w:color w:val="auto"/>
          <w:szCs w:val="21"/>
          <w:highlight w:val="none"/>
          <w:u w:val="single"/>
          <w:lang w:val="en-US" w:eastAsia="zh-CN"/>
        </w:rPr>
        <w:t>3</w:t>
      </w:r>
      <w:r>
        <w:rPr>
          <w:rFonts w:hint="eastAsia" w:ascii="黑体" w:hAnsi="黑体" w:eastAsia="黑体" w:cs="宋体"/>
          <w:color w:val="auto"/>
          <w:szCs w:val="21"/>
          <w:highlight w:val="none"/>
          <w:u w:val="single"/>
        </w:rPr>
        <w:t>年</w:t>
      </w:r>
      <w:r>
        <w:rPr>
          <w:rFonts w:hint="eastAsia" w:ascii="黑体" w:hAnsi="黑体" w:eastAsia="黑体" w:cs="宋体"/>
          <w:color w:val="auto"/>
          <w:szCs w:val="21"/>
          <w:highlight w:val="none"/>
          <w:u w:val="single"/>
          <w:lang w:val="en-US" w:eastAsia="zh-CN"/>
        </w:rPr>
        <w:t>06</w:t>
      </w:r>
      <w:r>
        <w:rPr>
          <w:rFonts w:hint="eastAsia" w:ascii="黑体" w:hAnsi="黑体" w:eastAsia="黑体" w:cs="宋体"/>
          <w:color w:val="auto"/>
          <w:szCs w:val="21"/>
          <w:highlight w:val="none"/>
          <w:u w:val="single"/>
        </w:rPr>
        <w:t>月</w:t>
      </w:r>
      <w:r>
        <w:rPr>
          <w:rFonts w:hint="eastAsia" w:ascii="黑体" w:hAnsi="黑体" w:eastAsia="黑体" w:cs="宋体"/>
          <w:color w:val="auto"/>
          <w:szCs w:val="21"/>
          <w:highlight w:val="none"/>
          <w:u w:val="single"/>
          <w:lang w:val="en-US" w:eastAsia="zh-CN"/>
        </w:rPr>
        <w:t>09</w:t>
      </w:r>
      <w:r>
        <w:rPr>
          <w:rFonts w:hint="eastAsia" w:ascii="黑体" w:hAnsi="黑体" w:eastAsia="黑体" w:cs="宋体"/>
          <w:color w:val="auto"/>
          <w:szCs w:val="21"/>
          <w:highlight w:val="none"/>
          <w:u w:val="single"/>
        </w:rPr>
        <w:t>日</w:t>
      </w:r>
      <w:r>
        <w:rPr>
          <w:rFonts w:hint="eastAsia" w:ascii="黑体" w:hAnsi="黑体" w:eastAsia="黑体" w:cs="宋体"/>
          <w:color w:val="auto"/>
          <w:szCs w:val="21"/>
          <w:highlight w:val="none"/>
          <w:u w:val="single"/>
          <w:lang w:val="en-US" w:eastAsia="zh-CN"/>
        </w:rPr>
        <w:t>16</w:t>
      </w:r>
      <w:r>
        <w:rPr>
          <w:rFonts w:hint="eastAsia" w:ascii="黑体" w:hAnsi="黑体" w:eastAsia="黑体" w:cs="宋体"/>
          <w:color w:val="auto"/>
          <w:szCs w:val="21"/>
          <w:highlight w:val="none"/>
          <w:u w:val="single"/>
        </w:rPr>
        <w:t>时</w:t>
      </w:r>
      <w:r>
        <w:rPr>
          <w:rFonts w:hint="eastAsia" w:ascii="黑体" w:hAnsi="黑体" w:eastAsia="黑体" w:cs="宋体"/>
          <w:color w:val="auto"/>
          <w:szCs w:val="21"/>
          <w:highlight w:val="none"/>
          <w:u w:val="single"/>
          <w:lang w:val="en-US" w:eastAsia="zh-CN"/>
        </w:rPr>
        <w:t>3</w:t>
      </w:r>
      <w:r>
        <w:rPr>
          <w:rFonts w:hint="eastAsia" w:ascii="黑体" w:hAnsi="黑体" w:eastAsia="黑体" w:cs="宋体"/>
          <w:color w:val="auto"/>
          <w:szCs w:val="21"/>
          <w:highlight w:val="none"/>
          <w:u w:val="single"/>
        </w:rPr>
        <w:t>0分（北京时间）</w:t>
      </w:r>
      <w:r>
        <w:rPr>
          <w:rFonts w:hint="eastAsia" w:ascii="黑体" w:hAnsi="黑体" w:eastAsia="黑体" w:cs="宋体"/>
          <w:color w:val="auto"/>
          <w:szCs w:val="21"/>
          <w:highlight w:val="none"/>
        </w:rPr>
        <w:t>前购买招标文件，并将汇款凭证发送至电子邮箱：</w:t>
      </w:r>
      <w:r>
        <w:rPr>
          <w:rFonts w:hint="eastAsia" w:ascii="黑体" w:hAnsi="黑体" w:eastAsia="黑体" w:cs="宋体"/>
          <w:color w:val="auto"/>
          <w:szCs w:val="21"/>
          <w:highlight w:val="none"/>
          <w:lang w:val="en-US" w:eastAsia="zh-CN"/>
        </w:rPr>
        <w:t>3572600386</w:t>
      </w:r>
      <w:r>
        <w:rPr>
          <w:rFonts w:hint="eastAsia" w:ascii="黑体" w:hAnsi="黑体" w:eastAsia="黑体" w:cs="宋体"/>
          <w:color w:val="auto"/>
          <w:szCs w:val="21"/>
          <w:highlight w:val="none"/>
          <w:lang w:eastAsia="zh-CN"/>
        </w:rPr>
        <w:t>@qq.com</w:t>
      </w:r>
      <w:r>
        <w:rPr>
          <w:rFonts w:hint="eastAsia" w:ascii="黑体" w:hAnsi="黑体" w:eastAsia="黑体" w:cs="宋体"/>
          <w:color w:val="auto"/>
          <w:szCs w:val="21"/>
          <w:highlight w:val="none"/>
        </w:rPr>
        <w:t>后，由工作人员将电子版招标文件发送给投标人。联系人：</w:t>
      </w:r>
      <w:r>
        <w:rPr>
          <w:rFonts w:hint="eastAsia" w:ascii="黑体" w:hAnsi="黑体" w:eastAsia="黑体" w:cs="宋体"/>
          <w:color w:val="auto"/>
          <w:szCs w:val="21"/>
          <w:highlight w:val="none"/>
          <w:lang w:val="en-US" w:eastAsia="zh-CN"/>
        </w:rPr>
        <w:t>李工</w:t>
      </w:r>
      <w:r>
        <w:rPr>
          <w:rFonts w:hint="eastAsia" w:ascii="黑体" w:hAnsi="黑体" w:eastAsia="黑体" w:cs="宋体"/>
          <w:color w:val="auto"/>
          <w:szCs w:val="21"/>
          <w:highlight w:val="none"/>
        </w:rPr>
        <w:t>：</w:t>
      </w:r>
      <w:r>
        <w:rPr>
          <w:rFonts w:hint="eastAsia" w:ascii="黑体" w:hAnsi="黑体" w:eastAsia="黑体" w:cs="宋体"/>
          <w:color w:val="auto"/>
          <w:szCs w:val="21"/>
          <w:highlight w:val="none"/>
          <w:u w:val="single"/>
          <w:lang w:val="en-US" w:eastAsia="zh-CN"/>
        </w:rPr>
        <w:t>18182907019</w:t>
      </w:r>
      <w:r>
        <w:rPr>
          <w:rFonts w:hint="eastAsia" w:ascii="黑体" w:hAnsi="黑体" w:eastAsia="黑体" w:cs="宋体"/>
          <w:color w:val="auto"/>
          <w:szCs w:val="21"/>
          <w:highlight w:val="none"/>
        </w:rPr>
        <w:t>。</w:t>
      </w:r>
    </w:p>
    <w:p>
      <w:pPr>
        <w:spacing w:line="400" w:lineRule="exact"/>
        <w:ind w:firstLine="422" w:firstLineChars="200"/>
        <w:jc w:val="left"/>
        <w:outlineLvl w:val="2"/>
        <w:rPr>
          <w:rFonts w:hint="eastAsia" w:ascii="黑体" w:hAnsi="黑体" w:eastAsia="黑体"/>
          <w:b/>
          <w:color w:val="auto"/>
          <w:kern w:val="2"/>
          <w:sz w:val="21"/>
          <w:szCs w:val="21"/>
          <w:highlight w:val="none"/>
        </w:rPr>
      </w:pPr>
      <w:bookmarkStart w:id="1" w:name="_Toc26154"/>
      <w:bookmarkStart w:id="2" w:name="_Toc12128"/>
      <w:bookmarkStart w:id="3" w:name="_Toc31195"/>
      <w:bookmarkStart w:id="4" w:name="_Toc20906"/>
      <w:bookmarkStart w:id="5" w:name="_Toc16056"/>
      <w:bookmarkStart w:id="6" w:name="_Toc11607"/>
      <w:r>
        <w:rPr>
          <w:rFonts w:hint="eastAsia" w:ascii="黑体" w:hAnsi="黑体" w:eastAsia="黑体"/>
          <w:b/>
          <w:color w:val="auto"/>
          <w:kern w:val="2"/>
          <w:sz w:val="21"/>
          <w:szCs w:val="21"/>
          <w:highlight w:val="none"/>
        </w:rPr>
        <w:t xml:space="preserve">5.2 </w:t>
      </w:r>
      <w:bookmarkStart w:id="7" w:name="_Toc35248895"/>
      <w:r>
        <w:rPr>
          <w:rFonts w:hint="eastAsia" w:ascii="黑体" w:hAnsi="黑体" w:eastAsia="黑体"/>
          <w:b/>
          <w:color w:val="auto"/>
          <w:kern w:val="2"/>
          <w:sz w:val="21"/>
          <w:szCs w:val="21"/>
          <w:highlight w:val="none"/>
        </w:rPr>
        <w:t>招标文件售价</w:t>
      </w:r>
      <w:bookmarkEnd w:id="1"/>
      <w:bookmarkEnd w:id="2"/>
      <w:bookmarkEnd w:id="3"/>
      <w:bookmarkEnd w:id="4"/>
      <w:bookmarkEnd w:id="5"/>
      <w:bookmarkEnd w:id="6"/>
      <w:bookmarkEnd w:id="7"/>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招标文件售价为人民币：2000元/套。购买文件费采用银行汇款或现金方式，售后不退。采用银行汇款方式时在汇款单备注中注明投标项目名称。</w:t>
      </w:r>
      <w:r>
        <w:rPr>
          <w:rFonts w:hint="eastAsia" w:ascii="黑体" w:hAnsi="黑体" w:eastAsia="黑体" w:cs="宋体"/>
          <w:color w:val="auto"/>
          <w:kern w:val="2"/>
          <w:sz w:val="21"/>
          <w:szCs w:val="21"/>
          <w:highlight w:val="none"/>
          <w:lang w:val="en-US" w:eastAsia="zh-CN"/>
        </w:rPr>
        <w:t>交款请截图发至</w:t>
      </w:r>
      <w:r>
        <w:rPr>
          <w:rFonts w:hint="eastAsia" w:ascii="黑体" w:hAnsi="黑体" w:eastAsia="黑体" w:cs="宋体"/>
          <w:color w:val="auto"/>
          <w:kern w:val="2"/>
          <w:sz w:val="21"/>
          <w:szCs w:val="21"/>
          <w:highlight w:val="none"/>
        </w:rPr>
        <w:t>电子邮箱：</w:t>
      </w:r>
      <w:r>
        <w:rPr>
          <w:rFonts w:hint="eastAsia" w:ascii="黑体" w:hAnsi="黑体" w:eastAsia="黑体" w:cs="宋体"/>
          <w:color w:val="auto"/>
          <w:kern w:val="2"/>
          <w:sz w:val="21"/>
          <w:szCs w:val="21"/>
          <w:highlight w:val="none"/>
          <w:lang w:val="en-US" w:eastAsia="zh-CN"/>
        </w:rPr>
        <w:t>3572600386</w:t>
      </w:r>
      <w:r>
        <w:rPr>
          <w:rFonts w:hint="eastAsia" w:ascii="黑体" w:hAnsi="黑体" w:eastAsia="黑体" w:cs="宋体"/>
          <w:color w:val="auto"/>
          <w:kern w:val="2"/>
          <w:sz w:val="21"/>
          <w:szCs w:val="21"/>
          <w:highlight w:val="none"/>
          <w:lang w:eastAsia="zh-CN"/>
        </w:rPr>
        <w:t>0@qq.com</w:t>
      </w:r>
    </w:p>
    <w:p>
      <w:pPr>
        <w:spacing w:line="400" w:lineRule="exact"/>
        <w:ind w:firstLine="420" w:firstLineChars="2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lang w:eastAsia="zh-CN"/>
        </w:rPr>
        <w:t>招标文件费用支付</w:t>
      </w:r>
      <w:r>
        <w:rPr>
          <w:rFonts w:hint="eastAsia" w:ascii="黑体" w:hAnsi="黑体" w:eastAsia="黑体" w:cs="宋体"/>
          <w:color w:val="auto"/>
          <w:kern w:val="2"/>
          <w:sz w:val="21"/>
          <w:szCs w:val="21"/>
          <w:highlight w:val="none"/>
        </w:rPr>
        <w:t>账户信息如下：</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开户行：华夏银行昆明高新支行</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户  名：云南建投物流有限公司</w:t>
      </w:r>
    </w:p>
    <w:p>
      <w:pPr>
        <w:spacing w:line="400" w:lineRule="exact"/>
        <w:ind w:firstLine="630" w:firstLineChars="300"/>
        <w:jc w:val="left"/>
        <w:rPr>
          <w:rFonts w:ascii="黑体" w:hAnsi="黑体" w:eastAsia="黑体" w:cs="宋体"/>
          <w:color w:val="auto"/>
          <w:szCs w:val="21"/>
          <w:highlight w:val="none"/>
        </w:rPr>
      </w:pPr>
      <w:r>
        <w:rPr>
          <w:rFonts w:hint="eastAsia" w:ascii="黑体" w:hAnsi="黑体" w:eastAsia="黑体" w:cs="宋体"/>
          <w:color w:val="auto"/>
          <w:kern w:val="2"/>
          <w:sz w:val="21"/>
          <w:szCs w:val="21"/>
          <w:highlight w:val="none"/>
        </w:rPr>
        <w:t>账  号：10755000000733403</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rPr>
      </w:pPr>
      <w:r>
        <w:rPr>
          <w:rFonts w:hint="eastAsia" w:ascii="黑体" w:hAnsi="黑体" w:eastAsia="黑体" w:cs="Times New Roman"/>
          <w:b/>
          <w:color w:val="auto"/>
          <w:szCs w:val="21"/>
          <w:highlight w:val="none"/>
        </w:rPr>
        <w:t>6.投标文件的递交</w:t>
      </w:r>
    </w:p>
    <w:p>
      <w:pPr>
        <w:spacing w:line="400" w:lineRule="exact"/>
        <w:ind w:firstLine="422" w:firstLineChars="200"/>
        <w:jc w:val="left"/>
        <w:rPr>
          <w:rFonts w:hint="eastAsia" w:ascii="黑体" w:hAnsi="黑体" w:eastAsia="黑体"/>
          <w:b/>
          <w:color w:val="auto"/>
          <w:kern w:val="2"/>
          <w:sz w:val="21"/>
          <w:szCs w:val="21"/>
          <w:highlight w:val="none"/>
        </w:rPr>
      </w:pPr>
      <w:bookmarkStart w:id="8" w:name="_Toc32322165"/>
      <w:r>
        <w:rPr>
          <w:rFonts w:hint="eastAsia" w:ascii="黑体" w:hAnsi="黑体" w:eastAsia="黑体"/>
          <w:b/>
          <w:color w:val="auto"/>
          <w:kern w:val="2"/>
          <w:sz w:val="21"/>
          <w:szCs w:val="21"/>
          <w:highlight w:val="none"/>
        </w:rPr>
        <w:t>注意：因处疫情防控期间，本次开标现场只允许一名投标代表参加，参与招标答疑的投标代表，在进入会场前必须扫描云南健康码，显示绿色二维码方可进入会场答疑。</w:t>
      </w:r>
      <w:bookmarkEnd w:id="8"/>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6.1.纸质版投标文件必须于</w:t>
      </w:r>
      <w:r>
        <w:rPr>
          <w:rFonts w:hint="eastAsia" w:ascii="黑体" w:hAnsi="黑体" w:eastAsia="黑体" w:cs="宋体"/>
          <w:color w:val="auto"/>
          <w:kern w:val="2"/>
          <w:sz w:val="21"/>
          <w:szCs w:val="21"/>
          <w:highlight w:val="none"/>
          <w:u w:val="single"/>
        </w:rPr>
        <w:t>202</w:t>
      </w:r>
      <w:r>
        <w:rPr>
          <w:rFonts w:hint="eastAsia" w:ascii="黑体" w:hAnsi="黑体" w:eastAsia="黑体" w:cs="宋体"/>
          <w:color w:val="auto"/>
          <w:kern w:val="2"/>
          <w:sz w:val="21"/>
          <w:szCs w:val="21"/>
          <w:highlight w:val="none"/>
          <w:u w:val="single"/>
          <w:lang w:val="en-US" w:eastAsia="zh-CN"/>
        </w:rPr>
        <w:t>3</w:t>
      </w:r>
      <w:r>
        <w:rPr>
          <w:rFonts w:hint="eastAsia" w:ascii="黑体" w:hAnsi="黑体" w:eastAsia="黑体" w:cs="宋体"/>
          <w:color w:val="auto"/>
          <w:kern w:val="2"/>
          <w:sz w:val="21"/>
          <w:szCs w:val="21"/>
          <w:highlight w:val="none"/>
          <w:u w:val="single"/>
        </w:rPr>
        <w:t>年</w:t>
      </w:r>
      <w:r>
        <w:rPr>
          <w:rFonts w:hint="eastAsia" w:ascii="黑体" w:hAnsi="黑体" w:eastAsia="黑体" w:cs="宋体"/>
          <w:color w:val="auto"/>
          <w:kern w:val="2"/>
          <w:sz w:val="21"/>
          <w:szCs w:val="21"/>
          <w:highlight w:val="none"/>
          <w:u w:val="single"/>
          <w:lang w:val="en-US" w:eastAsia="zh-CN"/>
        </w:rPr>
        <w:t>06</w:t>
      </w:r>
      <w:r>
        <w:rPr>
          <w:rFonts w:hint="eastAsia" w:ascii="黑体" w:hAnsi="黑体" w:eastAsia="黑体" w:cs="宋体"/>
          <w:color w:val="auto"/>
          <w:kern w:val="2"/>
          <w:sz w:val="21"/>
          <w:szCs w:val="21"/>
          <w:highlight w:val="none"/>
          <w:u w:val="single"/>
        </w:rPr>
        <w:t>月</w:t>
      </w:r>
      <w:r>
        <w:rPr>
          <w:rFonts w:hint="eastAsia" w:ascii="黑体" w:hAnsi="黑体" w:eastAsia="黑体" w:cs="宋体"/>
          <w:color w:val="auto"/>
          <w:kern w:val="2"/>
          <w:sz w:val="21"/>
          <w:szCs w:val="21"/>
          <w:highlight w:val="none"/>
          <w:u w:val="single"/>
          <w:lang w:val="en-US" w:eastAsia="zh-CN"/>
        </w:rPr>
        <w:t>16</w:t>
      </w:r>
      <w:r>
        <w:rPr>
          <w:rFonts w:hint="eastAsia" w:ascii="黑体" w:hAnsi="黑体" w:eastAsia="黑体" w:cs="宋体"/>
          <w:color w:val="auto"/>
          <w:kern w:val="2"/>
          <w:sz w:val="21"/>
          <w:szCs w:val="21"/>
          <w:highlight w:val="none"/>
          <w:u w:val="single"/>
        </w:rPr>
        <w:t>日</w:t>
      </w:r>
      <w:r>
        <w:rPr>
          <w:rFonts w:hint="eastAsia" w:ascii="黑体" w:hAnsi="黑体" w:eastAsia="黑体" w:cs="宋体"/>
          <w:color w:val="auto"/>
          <w:kern w:val="2"/>
          <w:sz w:val="21"/>
          <w:szCs w:val="21"/>
          <w:highlight w:val="none"/>
          <w:u w:val="single"/>
          <w:lang w:val="en-US" w:eastAsia="zh-CN"/>
        </w:rPr>
        <w:t>09</w:t>
      </w:r>
      <w:r>
        <w:rPr>
          <w:rFonts w:hint="eastAsia" w:ascii="黑体" w:hAnsi="黑体" w:eastAsia="黑体" w:cs="宋体"/>
          <w:color w:val="auto"/>
          <w:kern w:val="2"/>
          <w:sz w:val="21"/>
          <w:szCs w:val="21"/>
          <w:highlight w:val="none"/>
          <w:u w:val="single"/>
        </w:rPr>
        <w:t>时</w:t>
      </w:r>
      <w:r>
        <w:rPr>
          <w:rFonts w:hint="eastAsia" w:ascii="黑体" w:hAnsi="黑体" w:eastAsia="黑体" w:cs="宋体"/>
          <w:color w:val="auto"/>
          <w:kern w:val="2"/>
          <w:sz w:val="21"/>
          <w:szCs w:val="21"/>
          <w:highlight w:val="none"/>
          <w:u w:val="single"/>
          <w:lang w:val="en-US" w:eastAsia="zh-CN"/>
        </w:rPr>
        <w:t>3</w:t>
      </w:r>
      <w:r>
        <w:rPr>
          <w:rFonts w:hint="eastAsia" w:ascii="黑体" w:hAnsi="黑体" w:eastAsia="黑体" w:cs="宋体"/>
          <w:color w:val="auto"/>
          <w:kern w:val="2"/>
          <w:sz w:val="21"/>
          <w:szCs w:val="21"/>
          <w:highlight w:val="none"/>
          <w:u w:val="single"/>
        </w:rPr>
        <w:t>0分（北京时间）前</w:t>
      </w:r>
      <w:r>
        <w:rPr>
          <w:rFonts w:hint="eastAsia" w:ascii="黑体" w:hAnsi="黑体" w:eastAsia="黑体" w:cs="宋体"/>
          <w:color w:val="auto"/>
          <w:kern w:val="2"/>
          <w:sz w:val="21"/>
          <w:szCs w:val="21"/>
          <w:highlight w:val="none"/>
        </w:rPr>
        <w:t>在开标现场进行递交，逾期递交的不予受理。请各投标单位慎重对待。</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6.2.投标文件原件扫描件必须于</w:t>
      </w:r>
      <w:r>
        <w:rPr>
          <w:rFonts w:hint="eastAsia" w:ascii="黑体" w:hAnsi="黑体" w:eastAsia="黑体" w:cs="宋体"/>
          <w:color w:val="auto"/>
          <w:kern w:val="2"/>
          <w:sz w:val="21"/>
          <w:szCs w:val="21"/>
          <w:highlight w:val="none"/>
          <w:u w:val="single"/>
        </w:rPr>
        <w:t>2023年06月16日09时30分（北京时间）前</w:t>
      </w:r>
      <w:r>
        <w:rPr>
          <w:rFonts w:hint="eastAsia" w:ascii="黑体" w:hAnsi="黑体" w:eastAsia="黑体" w:cs="宋体"/>
          <w:color w:val="auto"/>
          <w:kern w:val="2"/>
          <w:sz w:val="21"/>
          <w:szCs w:val="21"/>
          <w:highlight w:val="none"/>
        </w:rPr>
        <w:t>上传至云南建投“云上营家”电子商务平台（ www.inja.com），逾期不予受理。请各投标单位慎重对待。</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6.3.编制和提交投标文件时，若有问题请联系我公司招标工作负责人：</w:t>
      </w:r>
      <w:r>
        <w:rPr>
          <w:rFonts w:hint="eastAsia" w:ascii="黑体" w:hAnsi="黑体" w:eastAsia="黑体" w:cs="宋体"/>
          <w:color w:val="auto"/>
          <w:kern w:val="2"/>
          <w:sz w:val="21"/>
          <w:szCs w:val="21"/>
          <w:highlight w:val="none"/>
          <w:lang w:val="en-US" w:eastAsia="zh-CN"/>
        </w:rPr>
        <w:t>李工</w:t>
      </w:r>
      <w:r>
        <w:rPr>
          <w:rFonts w:hint="eastAsia" w:ascii="黑体" w:hAnsi="黑体" w:eastAsia="黑体" w:cs="宋体"/>
          <w:color w:val="auto"/>
          <w:kern w:val="2"/>
          <w:sz w:val="21"/>
          <w:szCs w:val="21"/>
          <w:highlight w:val="none"/>
        </w:rPr>
        <w:t>；联系电话：</w:t>
      </w:r>
      <w:r>
        <w:rPr>
          <w:rFonts w:hint="eastAsia" w:ascii="黑体" w:hAnsi="黑体" w:eastAsia="黑体" w:cs="宋体"/>
          <w:color w:val="auto"/>
          <w:kern w:val="2"/>
          <w:sz w:val="21"/>
          <w:szCs w:val="21"/>
          <w:highlight w:val="none"/>
          <w:lang w:val="en-US" w:eastAsia="zh-CN"/>
        </w:rPr>
        <w:t>18182907019</w:t>
      </w:r>
      <w:r>
        <w:rPr>
          <w:rFonts w:hint="eastAsia" w:ascii="黑体" w:hAnsi="黑体" w:eastAsia="黑体" w:cs="宋体"/>
          <w:color w:val="auto"/>
          <w:kern w:val="2"/>
          <w:sz w:val="21"/>
          <w:szCs w:val="21"/>
          <w:highlight w:val="none"/>
        </w:rPr>
        <w:t>。</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6.4.逾期送达（提交）的或者未送达指定地点的投标文件，将被拒收。</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6.5.投标截止时间如有变动，招标人将及时以书面或电话形式通知所有已购买招标文件的潜在投标人。</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lang w:val="en-US" w:eastAsia="zh-CN"/>
        </w:rPr>
      </w:pPr>
      <w:r>
        <w:rPr>
          <w:rFonts w:hint="eastAsia" w:ascii="黑体" w:hAnsi="黑体" w:eastAsia="黑体" w:cs="Times New Roman"/>
          <w:b/>
          <w:color w:val="auto"/>
          <w:szCs w:val="21"/>
          <w:highlight w:val="none"/>
          <w:lang w:val="en-US" w:eastAsia="zh-CN"/>
        </w:rPr>
        <w:t>7.投标保证金的收取</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eastAsia" w:ascii="黑体" w:hAnsi="黑体" w:eastAsia="黑体" w:cs="宋体"/>
          <w:color w:val="auto"/>
          <w:kern w:val="2"/>
          <w:sz w:val="21"/>
          <w:szCs w:val="21"/>
          <w:highlight w:val="none"/>
          <w:lang w:val="en-US" w:eastAsia="zh-CN"/>
        </w:rPr>
        <w:t>7.</w:t>
      </w:r>
      <w:r>
        <w:rPr>
          <w:rFonts w:hint="default" w:ascii="黑体" w:hAnsi="黑体" w:eastAsia="黑体" w:cs="宋体"/>
          <w:color w:val="auto"/>
          <w:kern w:val="2"/>
          <w:sz w:val="21"/>
          <w:szCs w:val="21"/>
          <w:highlight w:val="none"/>
          <w:lang w:val="en-US" w:eastAsia="zh-CN"/>
        </w:rPr>
        <w:t>1.投标人须在开标前支付投标保证金人民币（大写）：</w:t>
      </w:r>
      <w:r>
        <w:rPr>
          <w:rFonts w:hint="eastAsia" w:ascii="黑体" w:hAnsi="黑体" w:eastAsia="黑体" w:cs="宋体"/>
          <w:color w:val="auto"/>
          <w:kern w:val="2"/>
          <w:sz w:val="21"/>
          <w:szCs w:val="21"/>
          <w:highlight w:val="none"/>
          <w:lang w:val="en-US" w:eastAsia="zh-CN"/>
        </w:rPr>
        <w:t>壹拾万元整</w:t>
      </w:r>
      <w:r>
        <w:rPr>
          <w:rFonts w:hint="default" w:ascii="黑体" w:hAnsi="黑体" w:eastAsia="黑体" w:cs="宋体"/>
          <w:color w:val="auto"/>
          <w:kern w:val="2"/>
          <w:sz w:val="21"/>
          <w:szCs w:val="21"/>
          <w:highlight w:val="none"/>
          <w:lang w:val="en-US" w:eastAsia="zh-CN"/>
        </w:rPr>
        <w:t>（</w:t>
      </w:r>
      <w:r>
        <w:rPr>
          <w:rFonts w:hint="eastAsia" w:ascii="黑体" w:hAnsi="黑体" w:eastAsia="黑体" w:cs="宋体"/>
          <w:color w:val="auto"/>
          <w:kern w:val="2"/>
          <w:sz w:val="21"/>
          <w:szCs w:val="21"/>
          <w:highlight w:val="none"/>
          <w:lang w:val="en-US" w:eastAsia="zh-CN"/>
        </w:rPr>
        <w:t>1</w:t>
      </w:r>
      <w:r>
        <w:rPr>
          <w:rFonts w:hint="default" w:ascii="黑体" w:hAnsi="黑体" w:eastAsia="黑体" w:cs="宋体"/>
          <w:color w:val="auto"/>
          <w:kern w:val="2"/>
          <w:sz w:val="21"/>
          <w:szCs w:val="21"/>
          <w:highlight w:val="none"/>
          <w:lang w:val="en-US" w:eastAsia="zh-CN"/>
        </w:rPr>
        <w:t>00000元），投标保证金的形式为货币资金（电子汇款），汇入招标人指定账户。投标保证金将在与中标人签订采购合同后十个工作日内退还。</w:t>
      </w:r>
      <w:r>
        <w:rPr>
          <w:rFonts w:hint="eastAsia" w:ascii="黑体" w:hAnsi="黑体" w:eastAsia="黑体" w:cs="宋体"/>
          <w:color w:val="auto"/>
          <w:kern w:val="2"/>
          <w:sz w:val="21"/>
          <w:szCs w:val="21"/>
          <w:highlight w:val="none"/>
          <w:lang w:val="en-US" w:eastAsia="zh-CN"/>
        </w:rPr>
        <w:t>交款请截图发至</w:t>
      </w:r>
      <w:r>
        <w:rPr>
          <w:rFonts w:hint="eastAsia" w:ascii="黑体" w:hAnsi="黑体" w:eastAsia="黑体" w:cs="宋体"/>
          <w:color w:val="auto"/>
          <w:kern w:val="2"/>
          <w:sz w:val="21"/>
          <w:szCs w:val="21"/>
          <w:highlight w:val="none"/>
        </w:rPr>
        <w:t>电子邮箱：</w:t>
      </w:r>
      <w:r>
        <w:rPr>
          <w:rFonts w:hint="eastAsia" w:ascii="黑体" w:hAnsi="黑体" w:eastAsia="黑体" w:cs="宋体"/>
          <w:color w:val="auto"/>
          <w:kern w:val="2"/>
          <w:sz w:val="21"/>
          <w:szCs w:val="21"/>
          <w:highlight w:val="none"/>
          <w:lang w:val="en-US" w:eastAsia="zh-CN"/>
        </w:rPr>
        <w:t>3572600386</w:t>
      </w:r>
      <w:r>
        <w:rPr>
          <w:rFonts w:hint="eastAsia" w:ascii="黑体" w:hAnsi="黑体" w:eastAsia="黑体" w:cs="宋体"/>
          <w:color w:val="auto"/>
          <w:kern w:val="2"/>
          <w:sz w:val="21"/>
          <w:szCs w:val="21"/>
          <w:highlight w:val="none"/>
          <w:lang w:eastAsia="zh-CN"/>
        </w:rPr>
        <w:t>@qq.com</w:t>
      </w:r>
    </w:p>
    <w:p>
      <w:pPr>
        <w:spacing w:line="400" w:lineRule="exact"/>
        <w:ind w:firstLine="630" w:firstLineChars="300"/>
        <w:jc w:val="left"/>
        <w:rPr>
          <w:rFonts w:hint="default" w:ascii="黑体" w:hAnsi="黑体" w:eastAsia="黑体" w:cs="宋体"/>
          <w:b w:val="0"/>
          <w:bCs w:val="0"/>
          <w:color w:val="auto"/>
          <w:kern w:val="2"/>
          <w:sz w:val="21"/>
          <w:szCs w:val="21"/>
          <w:highlight w:val="none"/>
          <w:lang w:val="en-US" w:eastAsia="zh-CN" w:bidi="ar-SA"/>
        </w:rPr>
      </w:pPr>
      <w:r>
        <w:rPr>
          <w:rFonts w:hint="eastAsia" w:ascii="黑体" w:hAnsi="黑体" w:eastAsia="黑体" w:cs="宋体"/>
          <w:b w:val="0"/>
          <w:bCs w:val="0"/>
          <w:color w:val="auto"/>
          <w:kern w:val="2"/>
          <w:sz w:val="21"/>
          <w:szCs w:val="21"/>
          <w:highlight w:val="none"/>
          <w:lang w:val="en-US" w:eastAsia="zh-CN" w:bidi="ar-SA"/>
        </w:rPr>
        <w:t>招标文件费用支付</w:t>
      </w:r>
      <w:r>
        <w:rPr>
          <w:rFonts w:hint="default" w:ascii="黑体" w:hAnsi="黑体" w:eastAsia="黑体" w:cs="宋体"/>
          <w:b w:val="0"/>
          <w:bCs w:val="0"/>
          <w:color w:val="auto"/>
          <w:kern w:val="2"/>
          <w:sz w:val="21"/>
          <w:szCs w:val="21"/>
          <w:highlight w:val="none"/>
          <w:lang w:val="en-US" w:eastAsia="zh-CN" w:bidi="ar-SA"/>
        </w:rPr>
        <w:t>账户信息如下：</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default" w:ascii="黑体" w:hAnsi="黑体" w:eastAsia="黑体" w:cs="宋体"/>
          <w:color w:val="auto"/>
          <w:kern w:val="2"/>
          <w:sz w:val="21"/>
          <w:szCs w:val="21"/>
          <w:highlight w:val="none"/>
          <w:lang w:val="en-US" w:eastAsia="zh-CN"/>
        </w:rPr>
        <w:t>开户行：华夏银行昆明高新支行</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default" w:ascii="黑体" w:hAnsi="黑体" w:eastAsia="黑体" w:cs="宋体"/>
          <w:color w:val="auto"/>
          <w:kern w:val="2"/>
          <w:sz w:val="21"/>
          <w:szCs w:val="21"/>
          <w:highlight w:val="none"/>
          <w:lang w:val="en-US" w:eastAsia="zh-CN"/>
        </w:rPr>
        <w:t>户  名：云南建投物流有限公司</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default" w:ascii="黑体" w:hAnsi="黑体" w:eastAsia="黑体" w:cs="宋体"/>
          <w:color w:val="auto"/>
          <w:kern w:val="2"/>
          <w:sz w:val="21"/>
          <w:szCs w:val="21"/>
          <w:highlight w:val="none"/>
          <w:lang w:val="en-US" w:eastAsia="zh-CN"/>
        </w:rPr>
        <w:t>账  号：10755000000733403</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eastAsia" w:ascii="黑体" w:hAnsi="黑体" w:eastAsia="黑体" w:cs="宋体"/>
          <w:color w:val="auto"/>
          <w:kern w:val="2"/>
          <w:sz w:val="21"/>
          <w:szCs w:val="21"/>
          <w:highlight w:val="none"/>
          <w:lang w:val="en-US" w:eastAsia="zh-CN"/>
        </w:rPr>
        <w:t>7.</w:t>
      </w:r>
      <w:r>
        <w:rPr>
          <w:rFonts w:hint="default" w:ascii="黑体" w:hAnsi="黑体" w:eastAsia="黑体" w:cs="宋体"/>
          <w:color w:val="auto"/>
          <w:kern w:val="2"/>
          <w:sz w:val="21"/>
          <w:szCs w:val="21"/>
          <w:highlight w:val="none"/>
          <w:lang w:val="en-US" w:eastAsia="zh-CN"/>
        </w:rPr>
        <w:t>2.投标人汇款后请将投标保证金汇款单据扫描件电子邮件形式传送给招标人</w:t>
      </w:r>
      <w:r>
        <w:rPr>
          <w:rFonts w:hint="eastAsia" w:ascii="黑体" w:hAnsi="黑体" w:eastAsia="黑体" w:cs="宋体"/>
          <w:color w:val="auto"/>
          <w:kern w:val="2"/>
          <w:sz w:val="21"/>
          <w:szCs w:val="21"/>
          <w:highlight w:val="none"/>
          <w:lang w:val="en-US" w:eastAsia="zh-CN"/>
        </w:rPr>
        <w:t>，电子邮箱：3572600386@qq.com</w:t>
      </w:r>
    </w:p>
    <w:p>
      <w:pPr>
        <w:spacing w:line="400" w:lineRule="exact"/>
        <w:ind w:firstLine="630" w:firstLineChars="300"/>
        <w:jc w:val="left"/>
        <w:rPr>
          <w:rFonts w:hint="default" w:ascii="黑体" w:hAnsi="黑体" w:eastAsia="黑体" w:cs="宋体"/>
          <w:color w:val="auto"/>
          <w:kern w:val="2"/>
          <w:sz w:val="21"/>
          <w:szCs w:val="21"/>
          <w:highlight w:val="none"/>
          <w:lang w:val="en-US" w:eastAsia="zh-CN"/>
        </w:rPr>
      </w:pPr>
      <w:r>
        <w:rPr>
          <w:rFonts w:hint="eastAsia" w:ascii="黑体" w:hAnsi="黑体" w:eastAsia="黑体" w:cs="宋体"/>
          <w:color w:val="auto"/>
          <w:kern w:val="2"/>
          <w:sz w:val="21"/>
          <w:szCs w:val="21"/>
          <w:highlight w:val="none"/>
          <w:lang w:val="en-US" w:eastAsia="zh-CN"/>
        </w:rPr>
        <w:t>7.</w:t>
      </w:r>
      <w:r>
        <w:rPr>
          <w:rFonts w:hint="default" w:ascii="黑体" w:hAnsi="黑体" w:eastAsia="黑体" w:cs="宋体"/>
          <w:color w:val="auto"/>
          <w:kern w:val="2"/>
          <w:sz w:val="21"/>
          <w:szCs w:val="21"/>
          <w:highlight w:val="none"/>
          <w:lang w:val="en-US" w:eastAsia="zh-CN"/>
        </w:rPr>
        <w:t>3.退还投标保证金约定，除非投标人提出书面申请变更收款账户，招标人将按汇款账户原路退回投标保证金</w:t>
      </w:r>
      <w:r>
        <w:rPr>
          <w:rFonts w:hint="eastAsia" w:ascii="黑体" w:hAnsi="黑体" w:eastAsia="黑体" w:cs="宋体"/>
          <w:color w:val="auto"/>
          <w:kern w:val="2"/>
          <w:sz w:val="21"/>
          <w:szCs w:val="21"/>
          <w:highlight w:val="none"/>
          <w:lang w:val="en-US" w:eastAsia="zh-CN"/>
        </w:rPr>
        <w:t>，投标保证金其他相关规定详见招标文件</w:t>
      </w:r>
      <w:r>
        <w:rPr>
          <w:rFonts w:hint="default" w:ascii="黑体" w:hAnsi="黑体" w:eastAsia="黑体" w:cs="宋体"/>
          <w:color w:val="auto"/>
          <w:kern w:val="2"/>
          <w:sz w:val="21"/>
          <w:szCs w:val="21"/>
          <w:highlight w:val="none"/>
          <w:lang w:val="en-US" w:eastAsia="zh-CN"/>
        </w:rPr>
        <w:t>。</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lang w:val="en-US" w:eastAsia="zh-CN"/>
        </w:rPr>
      </w:pPr>
      <w:bookmarkStart w:id="9" w:name="_Toc17109"/>
      <w:bookmarkStart w:id="10" w:name="_Toc13357"/>
      <w:bookmarkStart w:id="11" w:name="_Toc7809"/>
      <w:bookmarkStart w:id="12" w:name="_Toc35248897"/>
      <w:r>
        <w:rPr>
          <w:rFonts w:hint="eastAsia" w:ascii="黑体" w:hAnsi="黑体" w:eastAsia="黑体" w:cs="Times New Roman"/>
          <w:b/>
          <w:color w:val="auto"/>
          <w:szCs w:val="21"/>
          <w:highlight w:val="none"/>
          <w:lang w:val="en-US" w:eastAsia="zh-CN"/>
        </w:rPr>
        <w:t>8.开标时间及地点</w:t>
      </w:r>
      <w:bookmarkEnd w:id="9"/>
      <w:bookmarkEnd w:id="10"/>
      <w:bookmarkEnd w:id="11"/>
      <w:bookmarkEnd w:id="12"/>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lang w:val="en-US" w:eastAsia="zh-CN"/>
        </w:rPr>
        <w:t>8</w:t>
      </w:r>
      <w:r>
        <w:rPr>
          <w:rFonts w:hint="eastAsia" w:ascii="黑体" w:hAnsi="黑体" w:eastAsia="黑体" w:cs="宋体"/>
          <w:color w:val="auto"/>
          <w:kern w:val="2"/>
          <w:sz w:val="21"/>
          <w:szCs w:val="21"/>
          <w:highlight w:val="none"/>
        </w:rPr>
        <w:t>.1.时间：</w:t>
      </w:r>
      <w:r>
        <w:rPr>
          <w:rFonts w:hint="eastAsia" w:ascii="黑体" w:hAnsi="黑体" w:eastAsia="黑体" w:cs="宋体"/>
          <w:color w:val="auto"/>
          <w:kern w:val="2"/>
          <w:sz w:val="21"/>
          <w:szCs w:val="21"/>
          <w:highlight w:val="none"/>
          <w:u w:val="single"/>
        </w:rPr>
        <w:t>2023年06月16日09时30分（北京时间）</w:t>
      </w:r>
    </w:p>
    <w:p>
      <w:pPr>
        <w:spacing w:line="400" w:lineRule="exact"/>
        <w:ind w:firstLine="630" w:firstLineChars="300"/>
        <w:jc w:val="left"/>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lang w:val="en-US" w:eastAsia="zh-CN"/>
        </w:rPr>
        <w:t>8</w:t>
      </w:r>
      <w:r>
        <w:rPr>
          <w:rFonts w:hint="eastAsia" w:ascii="黑体" w:hAnsi="黑体" w:eastAsia="黑体" w:cs="宋体"/>
          <w:color w:val="auto"/>
          <w:kern w:val="2"/>
          <w:sz w:val="21"/>
          <w:szCs w:val="21"/>
          <w:highlight w:val="none"/>
        </w:rPr>
        <w:t>.2.地点：</w:t>
      </w:r>
      <w:r>
        <w:rPr>
          <w:rFonts w:hint="eastAsia" w:ascii="黑体" w:hAnsi="黑体" w:eastAsia="黑体" w:cs="宋体"/>
          <w:color w:val="auto"/>
          <w:kern w:val="2"/>
          <w:sz w:val="21"/>
          <w:szCs w:val="21"/>
          <w:highlight w:val="none"/>
          <w:lang w:val="en-US" w:eastAsia="zh-CN"/>
        </w:rPr>
        <w:t>云南建投发展大厦一楼云上营家招标大厅</w:t>
      </w:r>
      <w:r>
        <w:rPr>
          <w:rFonts w:hint="eastAsia" w:ascii="黑体" w:hAnsi="黑体" w:eastAsia="黑体" w:cs="宋体"/>
          <w:color w:val="auto"/>
          <w:kern w:val="2"/>
          <w:sz w:val="21"/>
          <w:szCs w:val="21"/>
          <w:highlight w:val="none"/>
        </w:rPr>
        <w:t>。</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lang w:val="en-US" w:eastAsia="zh-CN"/>
        </w:rPr>
      </w:pPr>
      <w:r>
        <w:rPr>
          <w:rFonts w:hint="eastAsia" w:ascii="黑体" w:hAnsi="黑体" w:eastAsia="黑体" w:cs="Times New Roman"/>
          <w:b/>
          <w:color w:val="auto"/>
          <w:szCs w:val="21"/>
          <w:highlight w:val="none"/>
          <w:lang w:val="en-US" w:eastAsia="zh-CN"/>
        </w:rPr>
        <w:t>9.发布公告的媒介</w:t>
      </w:r>
    </w:p>
    <w:p>
      <w:pPr>
        <w:pStyle w:val="7"/>
        <w:spacing w:line="400" w:lineRule="exact"/>
        <w:jc w:val="left"/>
        <w:rPr>
          <w:rFonts w:hint="eastAsia" w:ascii="黑体" w:hAnsi="黑体" w:eastAsia="黑体" w:cs="宋体"/>
          <w:color w:val="auto"/>
          <w:kern w:val="2"/>
          <w:sz w:val="21"/>
          <w:highlight w:val="none"/>
        </w:rPr>
      </w:pPr>
      <w:r>
        <w:rPr>
          <w:rFonts w:hint="eastAsia" w:ascii="黑体" w:hAnsi="黑体" w:eastAsia="黑体" w:cs="宋体"/>
          <w:color w:val="auto"/>
          <w:kern w:val="2"/>
          <w:sz w:val="21"/>
          <w:highlight w:val="none"/>
        </w:rPr>
        <w:t>本次招标公告同时在中国采购与招标网（http://www.chinabidding.com.cn）和云南建投“云上营家”电子商务平台（www.inja.com）上发布。</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lang w:val="en-US" w:eastAsia="zh-CN"/>
        </w:rPr>
      </w:pPr>
      <w:r>
        <w:rPr>
          <w:rFonts w:hint="eastAsia" w:ascii="黑体" w:hAnsi="黑体" w:eastAsia="黑体" w:cs="Times New Roman"/>
          <w:b/>
          <w:color w:val="auto"/>
          <w:szCs w:val="21"/>
          <w:highlight w:val="none"/>
          <w:lang w:val="en-US" w:eastAsia="zh-CN"/>
        </w:rPr>
        <w:t>10.联系方式</w:t>
      </w:r>
    </w:p>
    <w:p>
      <w:pPr>
        <w:spacing w:line="400" w:lineRule="exact"/>
        <w:ind w:firstLine="420" w:firstLineChars="200"/>
        <w:jc w:val="both"/>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招标人：云南建投物流有限公司</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eastAsia" w:ascii="黑体" w:hAnsi="黑体" w:eastAsia="黑体" w:cs="宋体"/>
          <w:color w:val="auto"/>
          <w:kern w:val="2"/>
          <w:sz w:val="21"/>
          <w:szCs w:val="21"/>
          <w:highlight w:val="none"/>
        </w:rPr>
        <w:t>地   址：</w:t>
      </w:r>
      <w:r>
        <w:rPr>
          <w:rFonts w:hint="eastAsia" w:ascii="黑体" w:hAnsi="黑体" w:eastAsia="黑体" w:cs="宋体"/>
          <w:color w:val="auto"/>
          <w:kern w:val="2"/>
          <w:sz w:val="21"/>
          <w:szCs w:val="21"/>
          <w:highlight w:val="none"/>
          <w:lang w:eastAsia="zh-CN"/>
        </w:rPr>
        <w:t>中国（云南）自由贸易试验区昆明片区</w:t>
      </w:r>
      <w:r>
        <w:rPr>
          <w:rFonts w:hint="eastAsia" w:ascii="黑体" w:hAnsi="黑体" w:eastAsia="黑体" w:cs="宋体"/>
          <w:color w:val="auto"/>
          <w:kern w:val="2"/>
          <w:sz w:val="21"/>
          <w:szCs w:val="21"/>
          <w:highlight w:val="none"/>
        </w:rPr>
        <w:t>经济技术开发区信息产业基地林溪路188号云南建投发展大厦</w:t>
      </w:r>
      <w:r>
        <w:rPr>
          <w:rFonts w:hint="eastAsia" w:ascii="黑体" w:hAnsi="黑体" w:eastAsia="黑体" w:cs="宋体"/>
          <w:color w:val="auto"/>
          <w:kern w:val="2"/>
          <w:sz w:val="21"/>
          <w:szCs w:val="21"/>
          <w:highlight w:val="none"/>
          <w:lang w:val="en-US" w:eastAsia="zh-CN"/>
        </w:rPr>
        <w:t>6楼629室</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eastAsia" w:ascii="黑体" w:hAnsi="黑体" w:eastAsia="黑体" w:cs="宋体"/>
          <w:color w:val="auto"/>
          <w:kern w:val="2"/>
          <w:sz w:val="21"/>
          <w:szCs w:val="21"/>
          <w:highlight w:val="none"/>
        </w:rPr>
        <w:t>联系人：</w:t>
      </w:r>
      <w:r>
        <w:rPr>
          <w:rFonts w:hint="eastAsia" w:ascii="黑体" w:hAnsi="黑体" w:eastAsia="黑体" w:cs="宋体"/>
          <w:color w:val="auto"/>
          <w:kern w:val="2"/>
          <w:sz w:val="21"/>
          <w:szCs w:val="21"/>
          <w:highlight w:val="none"/>
          <w:lang w:val="en-US" w:eastAsia="zh-CN"/>
        </w:rPr>
        <w:t>李工</w:t>
      </w:r>
    </w:p>
    <w:p>
      <w:pPr>
        <w:spacing w:line="400" w:lineRule="exact"/>
        <w:ind w:firstLine="420" w:firstLineChars="200"/>
        <w:jc w:val="both"/>
        <w:rPr>
          <w:rFonts w:hint="default" w:ascii="黑体" w:hAnsi="黑体" w:eastAsia="黑体" w:cs="宋体"/>
          <w:color w:val="auto"/>
          <w:kern w:val="2"/>
          <w:sz w:val="21"/>
          <w:szCs w:val="21"/>
          <w:highlight w:val="none"/>
          <w:lang w:val="en-US" w:eastAsia="zh-CN"/>
        </w:rPr>
      </w:pPr>
      <w:r>
        <w:rPr>
          <w:rFonts w:hint="eastAsia" w:ascii="黑体" w:hAnsi="黑体" w:eastAsia="黑体" w:cs="宋体"/>
          <w:color w:val="auto"/>
          <w:kern w:val="2"/>
          <w:sz w:val="21"/>
          <w:szCs w:val="21"/>
          <w:highlight w:val="none"/>
        </w:rPr>
        <w:t>电话：0871-63179945、</w:t>
      </w:r>
      <w:r>
        <w:rPr>
          <w:rFonts w:hint="eastAsia" w:ascii="黑体" w:hAnsi="黑体" w:eastAsia="黑体" w:cs="宋体"/>
          <w:color w:val="auto"/>
          <w:kern w:val="2"/>
          <w:sz w:val="21"/>
          <w:szCs w:val="21"/>
          <w:highlight w:val="none"/>
          <w:lang w:val="en-US" w:eastAsia="zh-CN"/>
        </w:rPr>
        <w:t>18182907019</w:t>
      </w:r>
    </w:p>
    <w:p>
      <w:pPr>
        <w:spacing w:line="400" w:lineRule="exact"/>
        <w:ind w:firstLine="420" w:firstLineChars="200"/>
        <w:jc w:val="both"/>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传真：0871-63188623</w:t>
      </w:r>
    </w:p>
    <w:p>
      <w:pPr>
        <w:spacing w:line="400" w:lineRule="exact"/>
        <w:ind w:firstLine="420" w:firstLineChars="200"/>
        <w:jc w:val="both"/>
        <w:rPr>
          <w:rFonts w:hint="eastAsia" w:ascii="黑体" w:hAnsi="黑体" w:eastAsia="黑体" w:cs="宋体"/>
          <w:color w:val="auto"/>
          <w:kern w:val="2"/>
          <w:sz w:val="21"/>
          <w:szCs w:val="21"/>
          <w:highlight w:val="none"/>
          <w:lang w:eastAsia="zh-CN"/>
        </w:rPr>
      </w:pPr>
      <w:r>
        <w:rPr>
          <w:rFonts w:hint="eastAsia" w:ascii="黑体" w:hAnsi="黑体" w:eastAsia="黑体" w:cs="宋体"/>
          <w:color w:val="auto"/>
          <w:kern w:val="2"/>
          <w:sz w:val="21"/>
          <w:szCs w:val="21"/>
          <w:highlight w:val="none"/>
        </w:rPr>
        <w:t>电子邮箱：</w:t>
      </w:r>
      <w:r>
        <w:rPr>
          <w:rFonts w:hint="eastAsia" w:ascii="黑体" w:hAnsi="黑体" w:eastAsia="黑体" w:cs="宋体"/>
          <w:color w:val="auto"/>
          <w:kern w:val="2"/>
          <w:sz w:val="21"/>
          <w:szCs w:val="21"/>
          <w:highlight w:val="none"/>
          <w:lang w:val="en-US" w:eastAsia="zh-CN"/>
        </w:rPr>
        <w:t>3572600386</w:t>
      </w:r>
      <w:r>
        <w:rPr>
          <w:rFonts w:hint="eastAsia" w:ascii="黑体" w:hAnsi="黑体" w:eastAsia="黑体" w:cs="宋体"/>
          <w:color w:val="auto"/>
          <w:kern w:val="2"/>
          <w:sz w:val="21"/>
          <w:szCs w:val="21"/>
          <w:highlight w:val="none"/>
          <w:lang w:eastAsia="zh-CN"/>
        </w:rPr>
        <w:t>@qq.com</w:t>
      </w:r>
    </w:p>
    <w:p>
      <w:pPr>
        <w:pStyle w:val="5"/>
        <w:keepNext w:val="0"/>
        <w:keepLines w:val="0"/>
        <w:pageBreakBefore w:val="0"/>
        <w:numPr>
          <w:ilvl w:val="0"/>
          <w:numId w:val="0"/>
        </w:numPr>
        <w:kinsoku/>
        <w:wordWrap/>
        <w:overflowPunct/>
        <w:topLinePunct w:val="0"/>
        <w:autoSpaceDE/>
        <w:autoSpaceDN/>
        <w:bidi w:val="0"/>
        <w:adjustRightInd/>
        <w:snapToGrid/>
        <w:spacing w:line="400" w:lineRule="exact"/>
        <w:ind w:left="200" w:leftChars="0"/>
        <w:jc w:val="left"/>
        <w:textAlignment w:val="auto"/>
        <w:rPr>
          <w:rFonts w:hint="eastAsia" w:ascii="黑体" w:hAnsi="黑体" w:eastAsia="黑体" w:cs="Times New Roman"/>
          <w:b/>
          <w:color w:val="auto"/>
          <w:szCs w:val="21"/>
          <w:highlight w:val="none"/>
          <w:lang w:val="en-US" w:eastAsia="zh-CN"/>
        </w:rPr>
      </w:pPr>
      <w:r>
        <w:rPr>
          <w:rFonts w:hint="eastAsia" w:ascii="黑体" w:hAnsi="黑体" w:eastAsia="黑体" w:cs="Times New Roman"/>
          <w:b/>
          <w:color w:val="auto"/>
          <w:szCs w:val="21"/>
          <w:highlight w:val="none"/>
          <w:lang w:val="en-US" w:eastAsia="zh-CN"/>
        </w:rPr>
        <w:t>11.信访举报机构</w:t>
      </w:r>
    </w:p>
    <w:p>
      <w:pPr>
        <w:spacing w:line="400" w:lineRule="exact"/>
        <w:ind w:firstLine="420" w:firstLineChars="200"/>
        <w:jc w:val="both"/>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云南建投物流有限公司纪检监察部</w:t>
      </w:r>
    </w:p>
    <w:p>
      <w:pPr>
        <w:spacing w:line="400" w:lineRule="exact"/>
        <w:ind w:firstLine="420" w:firstLineChars="200"/>
        <w:jc w:val="both"/>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电话：0871-63961691</w:t>
      </w:r>
    </w:p>
    <w:p>
      <w:pPr>
        <w:spacing w:line="400" w:lineRule="exact"/>
        <w:ind w:firstLine="420" w:firstLineChars="200"/>
        <w:jc w:val="both"/>
        <w:rPr>
          <w:rFonts w:hint="eastAsia" w:ascii="黑体" w:hAnsi="黑体" w:eastAsia="黑体" w:cs="宋体"/>
          <w:color w:val="auto"/>
          <w:kern w:val="2"/>
          <w:sz w:val="21"/>
          <w:szCs w:val="21"/>
          <w:highlight w:val="none"/>
        </w:rPr>
      </w:pPr>
      <w:r>
        <w:rPr>
          <w:rFonts w:hint="eastAsia" w:ascii="黑体" w:hAnsi="黑体" w:eastAsia="黑体" w:cs="宋体"/>
          <w:color w:val="auto"/>
          <w:kern w:val="2"/>
          <w:sz w:val="21"/>
          <w:szCs w:val="21"/>
          <w:highlight w:val="none"/>
        </w:rPr>
        <w:t>电子邮箱：ynjtwljw@inja.com</w:t>
      </w: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BF0701"/>
    <w:multiLevelType w:val="singleLevel"/>
    <w:tmpl w:val="02BF0701"/>
    <w:lvl w:ilvl="0" w:tentative="0">
      <w:start w:val="3"/>
      <w:numFmt w:val="decimal"/>
      <w:lvlText w:val="%1."/>
      <w:lvlJc w:val="left"/>
      <w:pPr>
        <w:tabs>
          <w:tab w:val="left" w:pos="312"/>
        </w:tabs>
        <w:ind w:left="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lhYWYyN2U1MWRkYWM1MGVjNTg2NTVkM2M4ZGYxYzYifQ=="/>
  </w:docVars>
  <w:rsids>
    <w:rsidRoot w:val="63F524DD"/>
    <w:rsid w:val="63F52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360" w:lineRule="auto"/>
      <w:jc w:val="center"/>
    </w:pPr>
    <w:rPr>
      <w:rFonts w:ascii="Times New Roman" w:hAnsi="Times New Roman" w:eastAsia="宋体" w:cs="Times New Roman"/>
      <w:lang w:val="en-US" w:eastAsia="zh-CN" w:bidi="ar-SA"/>
    </w:rPr>
  </w:style>
  <w:style w:type="paragraph" w:styleId="2">
    <w:name w:val="heading 4"/>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5">
    <w:name w:val="正文_0"/>
    <w:qFormat/>
    <w:uiPriority w:val="0"/>
    <w:pPr>
      <w:widowControl w:val="0"/>
      <w:spacing w:line="360" w:lineRule="auto"/>
      <w:jc w:val="both"/>
    </w:pPr>
    <w:rPr>
      <w:rFonts w:ascii="Times New Roman" w:hAnsi="Times New Roman" w:eastAsia="宋体" w:cs="Times New Roman"/>
      <w:kern w:val="2"/>
      <w:sz w:val="21"/>
      <w:lang w:val="en-US" w:eastAsia="zh-CN" w:bidi="ar-SA"/>
    </w:rPr>
  </w:style>
  <w:style w:type="paragraph" w:customStyle="1" w:styleId="6">
    <w:name w:val="正文_3"/>
    <w:qFormat/>
    <w:uiPriority w:val="0"/>
    <w:pPr>
      <w:widowControl w:val="0"/>
      <w:spacing w:line="360" w:lineRule="auto"/>
      <w:jc w:val="both"/>
    </w:pPr>
    <w:rPr>
      <w:rFonts w:ascii="Times New Roman" w:hAnsi="Times New Roman" w:eastAsia="宋体" w:cs="Times New Roman"/>
      <w:kern w:val="2"/>
      <w:sz w:val="21"/>
      <w:lang w:val="en-US" w:eastAsia="zh-CN" w:bidi="ar-SA"/>
    </w:rPr>
  </w:style>
  <w:style w:type="paragraph" w:customStyle="1" w:styleId="7">
    <w:name w:val="列出段落1"/>
    <w:basedOn w:val="1"/>
    <w:qFormat/>
    <w:uiPriority w:val="34"/>
    <w:pPr>
      <w:ind w:firstLine="420" w:firstLineChars="200"/>
    </w:pPr>
    <w:rPr>
      <w:rFonts w:cs="Calibri"/>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2023-06-01T06:45:00Z</dcterms:created>
  <dc:creator>Administrator</dc:creator>
  <cp:lastModifiedBy>Administrator</cp:lastModifiedBy>
  <dcterms:modified xsi:type="dcterms:W3CDTF">2023-06-01T06:47:37Z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5AD3F6550D97491BA0F9C0B9F7C94663_11</vt:lpwstr>
  </property>
</Properties>
</file>